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Project Brief: Multi-Timeframe Range Breakout Scanner</w:t>
      </w:r>
    </w:p>
    <w:p>
      <w:pPr>
        <w:spacing w:after="120"/>
      </w:pPr>
      <w:r>
        <w:rPr>
          <w:i/>
          <w:iCs/>
        </w:rPr>
        <w:t xml:space="preserve">A tool that scans equity markets and surfaces stocks breaking out of a period of price congestion — across any timeframe, from short consolidations of a few weeks to multi-decade accumulation bases.</w:t>
      </w:r>
    </w:p>
    <w:p>
      <w:pPr>
        <w:pStyle w:val="Heading2"/>
      </w:pPr>
      <w:r>
        <w:t xml:space="preserve">The concept</w:t>
      </w:r>
    </w:p>
    <w:p>
      <w:r>
        <w:t xml:space="preserve">Many stocks go through periods of sideways trading (“congestion” or a “base”) where price oscillates between a floor (support) and a ceiling (resistance). When price decisively closes above the ceiling, that’s a breakout — historically a setup associated with strong forward momentum. The longer and tighter the base, the bigger the typical move. The goal of this tool is to scan thousands of stocks and flag the ones breaking out today, regardless of the timeframe of the base.</w:t>
      </w:r>
    </w:p>
    <w:p>
      <w:pPr>
        <w:pStyle w:val="Heading2"/>
      </w:pPr>
      <w:r>
        <w:t xml:space="preserve">Core principle: timeframe-agnostic, resolution-adaptive</w:t>
      </w:r>
    </w:p>
    <w:p>
      <w:r>
        <w:t xml:space="preserve">The scanner must detect breakouts from congestion periods of any length — a 6-week flag, a 6-month base, a 5-year accumulation, or a 50-year multi-decade range. Different timeframes capture fundamentally different market dynamics, and all of them are valuable. If 50 years of history is available, we want to use it.</w:t>
      </w:r>
    </w:p>
    <w:p>
      <w:r>
        <w:rPr>
          <w:b/>
          <w:bCs/>
        </w:rPr>
        <w:t xml:space="preserve">Critical design rule: </w:t>
      </w:r>
      <w:r>
        <w:t xml:space="preserve">the bar resolution must scale with the lookback length. Analysing 50 years of daily bars (~12,600 rows per stock) is computationally wasteful and visually noisy — the macro pattern is hidden in the noise. Conversely, analysing 2 months on monthly bars gives only 2 data points. Each timeframe needs the right resolution.</w:t>
      </w:r>
    </w:p>
    <w:p>
      <w:pPr>
        <w:pStyle w:val="Heading2"/>
      </w:pPr>
      <w:r>
        <w:t xml:space="preserve">Lookback / resolution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Lookback period</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Bar resolution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Approx. bars in window</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Pattern type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 months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Daily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Flags, short bases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3–12 months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Daily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60–250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Classic swing bases (VCP, cup-and-handle)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 years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50–150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Stage-1 accumulation (Weinstein)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3–10 years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Weekly or monthly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36–520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Multi-year bases, post-bear-market breakouts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10–50+ years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Monthly or quarterly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40–600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Generational / secular breakouts</w:t>
            </w:r>
          </w:p>
        </w:tc>
      </w:tr>
    </w:tbl>
    <w:p>
      <w:pPr>
        <w:spacing w:before="120"/>
      </w:pPr>
      <w:r>
        <w:rPr>
          <w:b/>
          <w:bCs/>
        </w:rPr>
        <w:t xml:space="preserve">Aim for roughly 40–300 bars in any analysis window. </w:t>
      </w:r>
      <w:r>
        <w:t xml:space="preserve">Below 40, statistical signals are unreliable. Above 300, micro-noise drowns out the macro pattern. The system should resample raw daily bars up to weekly / monthly / quarterly as the lookback grows.</w:t>
      </w:r>
    </w:p>
    <w:p>
      <w:pPr>
        <w:pStyle w:val="Heading2"/>
      </w:pPr>
      <w:r>
        <w:t xml:space="preserve">Detection logic</w:t>
      </w:r>
    </w:p>
    <w:p>
      <w:r>
        <w:t xml:space="preserve">The same logic applies at every timeframe — only the parameters and bar resolution change.</w:t>
      </w:r>
    </w:p>
    <w:p>
      <w:pPr>
        <w:pStyle w:val="ListParagraph"/>
        <w:numPr>
          <w:ilvl w:val="0"/>
          <w:numId w:val="2"/>
        </w:numPr>
      </w:pPr>
      <w:r>
        <w:rPr>
          <w:b/>
          <w:bCs/>
        </w:rPr>
        <w:t xml:space="preserve">Resistance zone (flexible, not a fixed level): </w:t>
      </w:r>
      <w:r>
        <w:t xml:space="preserve">rolling maximum high over the lookback window, with a tolerance band. Tolerance scales with timeframe: ~5–10% for short-term bases, 10–20% for multi-year bases (long bases are naturally wider).</w:t>
      </w:r>
    </w:p>
    <w:p>
      <w:pPr>
        <w:pStyle w:val="ListParagraph"/>
        <w:numPr>
          <w:ilvl w:val="0"/>
          <w:numId w:val="2"/>
        </w:numPr>
      </w:pPr>
      <w:r>
        <w:rPr>
          <w:b/>
          <w:bCs/>
        </w:rPr>
        <w:t xml:space="preserve">Volatility compression (handles variable congestion width): </w:t>
      </w:r>
      <w:r>
        <w:t xml:space="preserve">measured using Bollinger Band Width, ATR ratio (current ATR vs longer-term ATR), or range-to-ATR ratio. These work identically on daily, weekly, monthly, or quarterly bars — they’re scale-invariant.</w:t>
      </w:r>
    </w:p>
    <w:p>
      <w:pPr>
        <w:pStyle w:val="ListParagraph"/>
        <w:numPr>
          <w:ilvl w:val="0"/>
          <w:numId w:val="2"/>
        </w:numPr>
      </w:pPr>
      <w:r>
        <w:rPr>
          <w:b/>
          <w:bCs/>
        </w:rPr>
        <w:t xml:space="preserve">Minimum duration: </w:t>
      </w:r>
      <w:r>
        <w:t xml:space="preserve">require sideways action across at least ~70–80% of the lookback window. A 12-month base needs roughly 9+ months of true congestion, not just a final flat patch.</w:t>
      </w:r>
    </w:p>
    <w:p>
      <w:pPr>
        <w:pStyle w:val="ListParagraph"/>
        <w:numPr>
          <w:ilvl w:val="0"/>
          <w:numId w:val="2"/>
        </w:numPr>
      </w:pPr>
      <w:r>
        <w:rPr>
          <w:b/>
          <w:bCs/>
        </w:rPr>
        <w:t xml:space="preserve">Breakout trigger: </w:t>
      </w:r>
      <w:r>
        <w:t xml:space="preserve">close above the resistance zone on the most recent bar, with volume ≥1.5–2x the trailing average and an expansion in ATR. On weekly/monthly bars, the “most recent bar” may still be forming — the scanner should support both “confirmed close” and “in-progress” modes.</w:t>
      </w:r>
    </w:p>
    <w:p>
      <w:pPr>
        <w:pStyle w:val="ListParagraph"/>
        <w:numPr>
          <w:ilvl w:val="0"/>
          <w:numId w:val="2"/>
        </w:numPr>
      </w:pPr>
      <w:r>
        <w:rPr>
          <w:b/>
          <w:bCs/>
        </w:rPr>
        <w:t xml:space="preserve">Trend filter: </w:t>
      </w:r>
      <w:r>
        <w:t xml:space="preserve">optional. Use a long-period moving average appropriate to the timeframe (e.g. 200-day for daily, 40-week for weekly, 10-month for monthly).</w:t>
      </w:r>
    </w:p>
    <w:p>
      <w:pPr>
        <w:pStyle w:val="Heading2"/>
      </w:pPr>
      <w:r>
        <w:t xml:space="preserve">Scan modes</w:t>
      </w:r>
    </w:p>
    <w:p>
      <w:r>
        <w:t xml:space="preserve">The scanner runs as a parameterised function. Three useful default modes:</w:t>
      </w:r>
    </w:p>
    <w:p>
      <w:pPr>
        <w:pStyle w:val="ListParagraph"/>
        <w:numPr>
          <w:ilvl w:val="0"/>
          <w:numId w:val="2"/>
        </w:numPr>
      </w:pPr>
      <w:r>
        <w:rPr>
          <w:b/>
          <w:bCs/>
        </w:rPr>
        <w:t xml:space="preserve">Short-term: </w:t>
      </w:r>
      <w:r>
        <w:t xml:space="preserve">60-day lookback, daily bars.</w:t>
      </w:r>
    </w:p>
    <w:p>
      <w:pPr>
        <w:pStyle w:val="ListParagraph"/>
        <w:numPr>
          <w:ilvl w:val="0"/>
          <w:numId w:val="2"/>
        </w:numPr>
      </w:pPr>
      <w:r>
        <w:rPr>
          <w:b/>
          <w:bCs/>
        </w:rPr>
        <w:t xml:space="preserve">Medium-term: </w:t>
      </w:r>
      <w:r>
        <w:t xml:space="preserve">2-year lookback, weekly bars.</w:t>
      </w:r>
    </w:p>
    <w:p>
      <w:pPr>
        <w:pStyle w:val="ListParagraph"/>
        <w:numPr>
          <w:ilvl w:val="0"/>
          <w:numId w:val="2"/>
        </w:numPr>
      </w:pPr>
      <w:r>
        <w:rPr>
          <w:b/>
          <w:bCs/>
        </w:rPr>
        <w:t xml:space="preserve">Long-term: </w:t>
      </w:r>
      <w:r>
        <w:t xml:space="preserve">20-year lookback, monthly bars.</w:t>
      </w:r>
    </w:p>
    <w:p>
      <w:r>
        <w:rPr>
          <w:b/>
          <w:bCs/>
        </w:rPr>
        <w:t xml:space="preserve">Stocks breaking out across multiple timeframes simultaneously are the highest-conviction setups</w:t>
      </w:r>
      <w:r>
        <w:t xml:space="preserve"> — the output should rank these at the top.</w:t>
      </w:r>
    </w:p>
    <w:p>
      <w:pPr>
        <w:pStyle w:val="Heading2"/>
      </w:pPr>
      <w:r>
        <w:t xml:space="preserve">Data</w:t>
      </w:r>
    </w:p>
    <w:p>
      <w:r>
        <w:t xml:space="preserve">Pull raw daily OHLCV at the highest resolution available, then resample to weekly / monthly / quarterly in code (pandas handles this trivially with .resample()). For multi-decade analysis, longer histories matter more than intraday resolution.</w:t>
      </w:r>
    </w:p>
    <w:p>
      <w:pPr>
        <w:pStyle w:val="Heading2"/>
      </w:pPr>
      <w:r>
        <w:t xml:space="preserve">Data sources — free options</w:t>
      </w:r>
    </w:p>
    <w:p>
      <w:pPr>
        <w:pStyle w:val="ListParagraph"/>
        <w:numPr>
          <w:ilvl w:val="0"/>
          <w:numId w:val="2"/>
        </w:numPr>
      </w:pPr>
      <w:r>
        <w:rPr>
          <w:b/>
          <w:bCs/>
        </w:rPr>
        <w:t xml:space="preserve">Stooq (recommended for long-history bulk data). </w:t>
      </w:r>
      <w:r>
        <w:t xml:space="preserve">Free bulk ZIP downloads of entire US exchanges. 30+ years of EOD history, no API key, no rate limits. Essential for the long-term scan modes. Download once, load into a local database.</w:t>
      </w:r>
    </w:p>
    <w:p>
      <w:pPr>
        <w:pStyle w:val="ListParagraph"/>
        <w:numPr>
          <w:ilvl w:val="0"/>
          <w:numId w:val="2"/>
        </w:numPr>
      </w:pPr>
      <w:r>
        <w:rPr>
          <w:b/>
          <w:bCs/>
        </w:rPr>
        <w:t xml:space="preserve">Alpaca Markets (recommended for daily live updates). </w:t>
      </w:r>
      <w:r>
        <w:t xml:space="preserve">Free with brokerage signup (no funding required). 10,000 calls/min, 7+ years of history, all US-listed equities. Easily handles the full Russell 3000 in one daily run.</w:t>
      </w:r>
    </w:p>
    <w:p>
      <w:pPr>
        <w:pStyle w:val="ListParagraph"/>
        <w:numPr>
          <w:ilvl w:val="0"/>
          <w:numId w:val="2"/>
        </w:numPr>
      </w:pPr>
      <w:r>
        <w:rPr>
          <w:b/>
          <w:bCs/>
        </w:rPr>
        <w:t xml:space="preserve">Tiingo (good for prototyping). </w:t>
      </w:r>
      <w:r>
        <w:t xml:space="preserve">Very clean data, 30+ years history. Free tier capped at ~50 symbols/hour — too slow for full universe but useful for testing detection logic.</w:t>
      </w:r>
    </w:p>
    <w:p>
      <w:pPr>
        <w:spacing w:before="80"/>
      </w:pPr>
      <w:r>
        <w:rPr>
          <w:b/>
          <w:bCs/>
        </w:rPr>
        <w:t xml:space="preserve">For multi-decade history (50+ years): </w:t>
      </w:r>
      <w:r>
        <w:t xml:space="preserve">Stooq covers ~30 years on most US tickers. For longer history, paid sources like Norgate (~$30/mo, 70+ years incl. delisted stocks) or CRSP (academic) are needed. SEC EDGAR has filings going back further but isn’t price data.</w:t>
      </w:r>
    </w:p>
    <w:p>
      <w:pPr>
        <w:spacing w:before="80"/>
      </w:pPr>
      <w:r>
        <w:rPr>
          <w:b/>
          <w:bCs/>
        </w:rPr>
        <w:t xml:space="preserve">Avoid: </w:t>
      </w:r>
      <w:r>
        <w:t xml:space="preserve">yfinance is unreliable for bulk usage since late 2024 (rate-limited at ~950 tickers). EODHD’s free tier is only 20 calls/day. Alpha Vantage / Finnhub / Marketstack free tiers cap at 25–500 calls/day.</w:t>
      </w:r>
    </w:p>
    <w:p>
      <w:pPr>
        <w:pStyle w:val="Heading2"/>
      </w:pPr>
      <w:r>
        <w:t xml:space="preserve">Architecture</w:t>
      </w:r>
    </w:p>
    <w:p>
      <w:pPr>
        <w:pStyle w:val="ListParagraph"/>
        <w:numPr>
          <w:ilvl w:val="0"/>
          <w:numId w:val="2"/>
        </w:numPr>
      </w:pPr>
      <w:r>
        <w:t xml:space="preserve">Local store (SQLite, DuckDB, or Parquet) holding daily OHLCV for the full ticker universe.</w:t>
      </w:r>
    </w:p>
    <w:p>
      <w:pPr>
        <w:pStyle w:val="ListParagraph"/>
        <w:numPr>
          <w:ilvl w:val="0"/>
          <w:numId w:val="2"/>
        </w:numPr>
      </w:pPr>
      <w:r>
        <w:t xml:space="preserve">Daily ingestion job appends the latest bar from Alpaca.</w:t>
      </w:r>
    </w:p>
    <w:p>
      <w:pPr>
        <w:pStyle w:val="ListParagraph"/>
        <w:numPr>
          <w:ilvl w:val="0"/>
          <w:numId w:val="2"/>
        </w:numPr>
      </w:pPr>
      <w:r>
        <w:t xml:space="preserve">Scanner runs across the universe, in each scan mode, computing congestion + breakout features.</w:t>
      </w:r>
    </w:p>
    <w:p>
      <w:pPr>
        <w:pStyle w:val="ListParagraph"/>
        <w:numPr>
          <w:ilvl w:val="0"/>
          <w:numId w:val="2"/>
        </w:numPr>
      </w:pPr>
      <w:r>
        <w:t xml:space="preserve">Output: a ranked list per timeframe, plus a combined list flagging multi-timeframe alignments. Delivered via dashboard, CSV, or email.</w:t>
      </w:r>
    </w:p>
    <w:p>
      <w:pPr>
        <w:pStyle w:val="Heading2"/>
      </w:pPr>
      <w:r>
        <w:t xml:space="preserve">Tech stack (suggested)</w:t>
      </w:r>
    </w:p>
    <w:p>
      <w:pPr>
        <w:pStyle w:val="ListParagraph"/>
        <w:numPr>
          <w:ilvl w:val="0"/>
          <w:numId w:val="2"/>
        </w:numPr>
      </w:pPr>
      <w:r>
        <w:rPr>
          <w:b/>
          <w:bCs/>
        </w:rPr>
        <w:t xml:space="preserve">Python </w:t>
      </w:r>
      <w:r>
        <w:t xml:space="preserve">with pandas / numpy. pandas’ .resample() is the core primitive for the multi-resolution logic.</w:t>
      </w:r>
    </w:p>
    <w:p>
      <w:pPr>
        <w:pStyle w:val="ListParagraph"/>
        <w:numPr>
          <w:ilvl w:val="0"/>
          <w:numId w:val="2"/>
        </w:numPr>
      </w:pPr>
      <w:r>
        <w:rPr>
          <w:b/>
          <w:bCs/>
        </w:rPr>
        <w:t xml:space="preserve">TA-Lib or pandas-ta </w:t>
      </w:r>
      <w:r>
        <w:t xml:space="preserve">for indicators (ATR, Bollinger Bands, moving averages).</w:t>
      </w:r>
    </w:p>
    <w:p>
      <w:pPr>
        <w:pStyle w:val="ListParagraph"/>
        <w:numPr>
          <w:ilvl w:val="0"/>
          <w:numId w:val="2"/>
        </w:numPr>
      </w:pPr>
      <w:r>
        <w:rPr>
          <w:b/>
          <w:bCs/>
        </w:rPr>
        <w:t xml:space="preserve">matplotlib or plotly </w:t>
      </w:r>
      <w:r>
        <w:t xml:space="preserve">for chart rendering, with the ability to render the same stock at multiple resolutions side by side.</w:t>
      </w:r>
    </w:p>
    <w:p>
      <w:pPr>
        <w:pStyle w:val="ListParagraph"/>
        <w:numPr>
          <w:ilvl w:val="0"/>
          <w:numId w:val="2"/>
        </w:numPr>
      </w:pPr>
      <w:r>
        <w:rPr>
          <w:b/>
          <w:bCs/>
        </w:rPr>
        <w:t xml:space="preserve">DuckDB or Parquet </w:t>
      </w:r>
      <w:r>
        <w:t xml:space="preserve">for local storage — efficient for the multi-decade datasets.</w:t>
      </w:r>
    </w:p>
    <w:p>
      <w:pPr>
        <w:pStyle w:val="Heading2"/>
      </w:pPr>
      <w:r>
        <w:t xml:space="preserve">Validation</w:t>
      </w:r>
    </w:p>
    <w:p>
      <w:r>
        <w:t xml:space="preserve">Backtest each scan mode separately on historical data: run the detection across many years and measure forward returns at horizons appropriate to the timeframe (e.g. 20 days for short-term mode, 1 year for long-term mode). Compare against a benchmark. Multi-timeframe-aligned signals should outperform single-timeframe signals — this is the central hypothesis worth testing.</w:t>
      </w:r>
    </w:p>
    <w:p>
      <w:pPr>
        <w:pStyle w:val="Heading2"/>
      </w:pPr>
      <w:r>
        <w:t xml:space="preserve">Build phases</w:t>
      </w:r>
    </w:p>
    <w:p>
      <w:pPr>
        <w:pStyle w:val="ListParagraph"/>
        <w:numPr>
          <w:ilvl w:val="0"/>
          <w:numId w:val="2"/>
        </w:numPr>
      </w:pPr>
      <w:r>
        <w:rPr>
          <w:b/>
          <w:bCs/>
        </w:rPr>
        <w:t xml:space="preserve">Phase 1: </w:t>
      </w:r>
      <w:r>
        <w:t xml:space="preserve">prototype on S&amp;P 500 with a single timeframe (daily, ~3-month lookback). Get the detection working end-to-end.</w:t>
      </w:r>
    </w:p>
    <w:p>
      <w:pPr>
        <w:pStyle w:val="ListParagraph"/>
        <w:numPr>
          <w:ilvl w:val="0"/>
          <w:numId w:val="2"/>
        </w:numPr>
      </w:pPr>
      <w:r>
        <w:rPr>
          <w:b/>
          <w:bCs/>
        </w:rPr>
        <w:t xml:space="preserve">Phase 2: </w:t>
      </w:r>
      <w:r>
        <w:t xml:space="preserve">add resolution-adaptive logic. Run weekly and monthly scans alongside daily. Verify visually on known historical examples.</w:t>
      </w:r>
    </w:p>
    <w:p>
      <w:pPr>
        <w:pStyle w:val="ListParagraph"/>
        <w:numPr>
          <w:ilvl w:val="0"/>
          <w:numId w:val="2"/>
        </w:numPr>
      </w:pPr>
      <w:r>
        <w:rPr>
          <w:b/>
          <w:bCs/>
        </w:rPr>
        <w:t xml:space="preserve">Phase 3: </w:t>
      </w:r>
      <w:r>
        <w:t xml:space="preserve">backtest each timeframe separately and the multi-timeframe alignment signal. Tune parameters per scan mode.</w:t>
      </w:r>
    </w:p>
    <w:p>
      <w:pPr>
        <w:pStyle w:val="ListParagraph"/>
        <w:numPr>
          <w:ilvl w:val="0"/>
          <w:numId w:val="2"/>
        </w:numPr>
      </w:pPr>
      <w:r>
        <w:rPr>
          <w:b/>
          <w:bCs/>
        </w:rPr>
        <w:t xml:space="preserve">Phase 4: </w:t>
      </w:r>
      <w:r>
        <w:t xml:space="preserve">expand universe to Russell 3000 / full US listings, automate daily runs, build output dashboard.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8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2026-04-30T15:22:45.336Z</dcterms:created>
  <dcterms:modified xsi:type="dcterms:W3CDTF">2026-04-30T15:22:45.337Z</dcterms:modified>
</cp:coreProperties>
</file>

<file path=docProps/custom.xml><?xml version="1.0" encoding="utf-8"?>
<Properties xmlns="http://schemas.openxmlformats.org/officeDocument/2006/custom-properties" xmlns:vt="http://schemas.openxmlformats.org/officeDocument/2006/docPropsVTypes"/>
</file>