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Cash Flow First Credit: From Moniepoint’s Position to Underwrite for Collection</w:t>
      </w:r>
    </w:p>
    <w:p>
      <w:pPr>
        <w:pStyle w:val="Heading1"/>
      </w:pPr>
      <w:r>
        <w:rPr>
          <w:color w:val="000000"/>
        </w:rPr>
        <w:t>A practical response for digital credit providers</w:t>
      </w:r>
    </w:p>
    <w:p>
      <w:r>
        <w:t>Recent reporting on Moniepoint’s cash-flow lending position raises a practical design question: how can a lender translate transaction activity into a sound view of repayment capacity? This article turns that question into a working method: identify which receipts are the enterprise’s own recurring cash, reconcile them against operating costs and existing obligations, and test whether instalments fit its cash cycle and seasonal needs. It carries those assumptions through post-disbursement monitoring, customer support, and realised recovery. [1], [2]</w:t>
      </w:r>
    </w:p>
    <w:p>
      <w:r>
        <w:t>This conversation has an earlier, related source. In a June LinkedIn post, Eniolorunda discussed layering credit onto payment flows and using payment data responsibly. That is separate from the October collateral report. Responses to the June post raised three operational points: data portability and credit infrastructure must keep pace with payments; businesses outside major urban centres can have active transactions and still struggle to access working capital; and providers should use transaction data responsibly. These comments sharpen the implementation question without being reactions to the October report. [3]</w:t>
      </w:r>
    </w:p>
    <w:p>
      <w:r>
        <w:t>This article applies that question to non-deposit-taking credit providers, including digitally delivered lenders whose activity falls within Kenya’s CBK regime. The proposition is straightforward: transaction evidence can help lenders see enterprises that asset-based screens miss. The analytical task is to determine which activity represents the borrower’s own recurring business cash, what remains after operating and household needs, and whether repayments can be scheduled around the enterprise’s cash cycle.</w:t>
      </w:r>
    </w:p>
    <w:p>
      <w:pPr>
        <w:pStyle w:val="Heading1"/>
      </w:pPr>
      <w:r>
        <w:rPr>
          <w:color w:val="000000"/>
        </w:rPr>
        <w:t>What the survey says—and what it does not</w:t>
      </w:r>
    </w:p>
    <w:p>
      <w:r>
        <w:t>EFInA’s 2026 survey covered 18,679 adults across Nigeria’s 36 states and the Federal Capital Territory. Adult formal credit use rose from 6% in 2023 to 10% in 2026; overall financial inclusion was 79%, compared with 73% formal inclusion. Formal credit use was 8% among business owners and 7% among farmers. These population measures do not establish business coverage, underwriting quality or portfolio performance. They indicate access and suitability questions that product and repayment evidence must answer. [4]</w:t>
      </w:r>
    </w:p>
    <w:p>
      <w:r>
        <w:t>Moniepoint’s public working-capital information describes a product with repayment features intended to fit a merchant’s pace. It is a concrete product example, not independent evidence of impact or portfolio results. Cash-flow evidence and repayment design belong together: daily or seasonal sales patterns can inform whether monthly, weekly or another schedule better fits the business. [5]</w:t>
      </w:r>
    </w:p>
    <w:p>
      <w:pPr>
        <w:pStyle w:val="Heading1"/>
      </w:pPr>
      <w:r>
        <w:rPr>
          <w:color w:val="000000"/>
        </w:rPr>
        <w:t>Start with the source of repayment</w:t>
      </w:r>
    </w:p>
    <w:p>
      <w:r>
        <w:t>A business loan is repaid from cash generated by the enterprise, or from another explicitly identified source. Collateral can provide a secondary recovery route and affect loss severity, but its stated value does not demonstrate that scheduled payments fit the business. Credit files should make both questions visible: can expected cash generation meet the payment schedule, and what recovery routes remain if it cannot?</w:t>
      </w:r>
    </w:p>
    <w:p>
      <w:r>
        <w:t>Cash-flow underwriting is more than applying a score to account turnover. Gross credits may include sales, transfers between the borrower’s accounts, new borrowing, owner capital, refunds, reversals, insurance proceeds and asset sales. If every credit is classified as revenue, the model can overstate capacity and structure repayment around money the business did not earn. Sound analysis maps accounts to the legal and operating entity, reconciles payment channels, and distinguishes recurring trade receipts from financing or other balance-sheet movements.</w:t>
      </w:r>
    </w:p>
    <w:p>
      <w:r>
        <w:t>The same care applies to outflows. Supplier purchases, wages, rent, utilities, taxes, delivery costs, inventory replenishment, owner drawings, household transfers and existing debt payments compete for cash. A monthly surplus can conceal a weekly liquidity trough. A merchant may have money at month-end while needing working capital to restock several days earlier. The schedule should follow the cash cycle, not merely a monthly average.</w:t>
      </w:r>
    </w:p>
    <w:p>
      <w:pPr>
        <w:pStyle w:val="Heading1"/>
      </w:pPr>
      <w:r>
        <w:rPr>
          <w:color w:val="000000"/>
        </w:rPr>
        <w:t>A worked cash-flow illustration</w:t>
      </w:r>
    </w:p>
    <w:p>
      <w:r>
        <w:t>Consider a fictional merchant with KES 500,000 in monthly account credits. Transaction review identifies KES 410,000 as customer receipts, KES 45,000 as transfers from the owner’s other account, KES 30,000 as a separate loan disbursement and KES 15,000 as refunds or reversals. The gross-credit total is not monthly sales. The cash-flow case begins with the source-labelled KES 410,000, reconciled against point-of-sale records, cash deposits, mobile-money statements and the borrower’s account map.</w:t>
      </w:r>
    </w:p>
    <w:p>
      <w:r>
        <w:t>Suppose the month also shows KES 270,000 in supplier purchases, KES 70,000 in wages, rent and utilities, KES 20,000 in owner drawings and KES 25,000 in existing debt payments. The residual is KES 25,000 before the new facility, so a KES 35,000 monthly instalment does not fit this observed month. The lender should test representativeness, seasonality and missing channels before considering a smaller facility, a schedule matched to verified receipts, more information or no offer.</w:t>
      </w:r>
    </w:p>
    <w:p>
      <w:r>
        <w:t>An upcoming seasonal peak should be supported by past sales patterns, orders or other evidence. Test delayed sales, higher supplier prices and lower turnover against payment timing. Purpose, amount and operating plan should align; anticipated growth alone does not establish affordability.</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MONIEPOINT_CREDIT_PROVENANCE_KES.png"/>
                    <pic:cNvPicPr/>
                  </pic:nvPicPr>
                  <pic:blipFill>
                    <a:blip r:embed="rId11"/>
                    <a:stretch>
                      <a:fillRect/>
                    </a:stretch>
                  </pic:blipFill>
                  <pic:spPr>
                    <a:xfrm>
                      <a:off x="0" y="0"/>
                      <a:ext cx="5715000" cy="3214688"/>
                    </a:xfrm>
                    <a:prstGeom prst="rect"/>
                  </pic:spPr>
                </pic:pic>
              </a:graphicData>
            </a:graphic>
          </wp:inline>
        </w:drawing>
      </w:r>
    </w:p>
    <w:p>
      <w:pPr>
        <w:jc w:val="center"/>
      </w:pPr>
      <w:r>
        <w:rPr>
          <w:i/>
          <w:color w:val="505F69"/>
          <w:sz w:val="17"/>
        </w:rPr>
        <w:t>Transaction credit provenance in the fictional Moniepoint cash-flow example</w:t>
      </w:r>
    </w:p>
    <w:p>
      <w:pPr>
        <w:jc w:val="center"/>
      </w:pPr>
      <w:r>
        <w:rPr>
          <w:i/>
          <w:color w:val="4B5A64"/>
          <w:sz w:val="18"/>
        </w:rPr>
        <w:t>Figure 1. The KES 500,000 credit total is decomposed by source; KES 410,000 is classified as customer receipts in the example.</w:t>
      </w:r>
    </w:p>
    <w:p>
      <w:pPr>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MONIEPOINT_RESIDUAL_VS_PROPOSED_INSTALMENT.png"/>
                    <pic:cNvPicPr/>
                  </pic:nvPicPr>
                  <pic:blipFill>
                    <a:blip r:embed="rId12"/>
                    <a:stretch>
                      <a:fillRect/>
                    </a:stretch>
                  </pic:blipFill>
                  <pic:spPr>
                    <a:xfrm>
                      <a:off x="0" y="0"/>
                      <a:ext cx="5715000" cy="3214688"/>
                    </a:xfrm>
                    <a:prstGeom prst="rect"/>
                  </pic:spPr>
                </pic:pic>
              </a:graphicData>
            </a:graphic>
          </wp:inline>
        </w:drawing>
      </w:r>
    </w:p>
    <w:p>
      <w:pPr>
        <w:jc w:val="center"/>
      </w:pPr>
      <w:r>
        <w:rPr>
          <w:i/>
          <w:color w:val="505F69"/>
          <w:sz w:val="17"/>
        </w:rPr>
        <w:t>Residual cash compared with the proposed monthly instalment</w:t>
      </w:r>
    </w:p>
    <w:p>
      <w:pPr>
        <w:jc w:val="center"/>
      </w:pPr>
      <w:r>
        <w:rPr>
          <w:i/>
          <w:color w:val="4B5A64"/>
          <w:sz w:val="18"/>
        </w:rPr>
        <w:t>Figure 2. The fictional KES 25,000 residual is below the proposed KES 35,000 instalment.</w:t>
      </w:r>
    </w:p>
    <w:p>
      <w:r>
        <w:t>The result should show uncertainty, not just one point estimate. Multiple periods help separate normal transaction variation from changes in the borrower’s underlying capacity. Where evidence is thin or the estimate lies near a policy boundary, a reviewer should see plausible ranges for cash available for debt service and the facts that could change the decision. A Bayesian implementation can express this through posterior intervals or the probability that debt service exceeds a limit. The interval supports a human judgement; it is not an unexplained score or automatic approval.</w:t>
      </w:r>
    </w:p>
    <w:p>
      <w:pPr>
        <w:pStyle w:val="Heading1"/>
      </w:pPr>
      <w:r>
        <w:rPr>
          <w:color w:val="000000"/>
        </w:rPr>
        <w:t>Underwrite for Collection: from approval to realised cash</w:t>
      </w:r>
    </w:p>
    <w:p>
      <w:r>
        <w:t>Underwrite for Collection starts with the outcome that matters: sustainable repayment and realised cash collection across a facility’s life. It works backward to the evidence needed at each decision point. Before approval, the lender establishes purpose, borrower identity, entity and account links, cash-flow provenance, obligations, affordability and facility structure. At disbursement, it records amount, destination, timing, pricing, schedule and approved conditions. Afterwards, monitoring tests whether the business still fits the assumptions. When a payment is missed, servicing distinguishes timing stress, data error and business deterioration before selecting a response. The whitepaper integrates product design, underwriting, servicing, collection, restructuring and recovery in one evidence chain. [6]</w:t>
      </w:r>
    </w:p>
    <w:p>
      <w:r>
        <w:t>This lifecycle also distinguishes financing an operating business from financing a ring-fenced receivables stream. Business financing assesses the enterprise as a going concern: cash generation, working capital, obligations, owners and continuing operations. A ring-fenced receivables arrangement relies on identified invoices or collections dedicated to repayment. It requires evidence about eligibility, obligor concentration, dilution, legal transfer and enforceability, account control, servicing continuity, timing, reserves and waterfall performance. Each structure has a different repayment source and monitoring plan. Naming the proposition at the outset tells the lender which evidence and recovery path to test.</w:t>
      </w:r>
    </w:p>
    <w:p>
      <w:pPr>
        <w:pStyle w:val="Heading1"/>
      </w:pPr>
      <w:r>
        <w:rPr>
          <w:color w:val="000000"/>
        </w:rPr>
        <w:t>A governed agentic workflow</w:t>
      </w:r>
    </w:p>
    <w:p>
      <w:r>
        <w:t>At scale, cash-flow lending is a coordination problem as well as a modelling problem. Evidence may come from a DCP wallet, a bank account, a merchant acquirer, a POS terminal, accounting software, a bureau and customer-supplied records. A governed agentic workflow can coordinate specialist tasks while tested computation and authorized people retain clear responsibilities. The purpose is to assemble a traceable credit case, not to let a language model decide that a borrower is “good.”</w:t>
      </w:r>
    </w:p>
    <w:p>
      <w:r>
        <w:t>An orchestration service creates a case and correlation ID, then routes tasks to scoped agents. An intake agent checks consent, source permissions, file integrity and coverage dates. A transaction-provenance agent proposes labels for sales, transfers, refunds and loan proceeds, linking each label to source records and confidence. A deterministic cash-flow engine calculates receipts, outflows, obligations and forecast paths using versioned code. A challenger agent tests alternative classifications, missing channels, unusual inflows, concentration and stress cases. A policy service compares estimates and uncertainty with approved thresholds; it does not authorize a facility by itself.</w:t>
      </w:r>
    </w:p>
    <w:p>
      <w:r>
        <w:t>The reviewer sees the cash bridge, data coverage, model version, assumptions, uncertainty, proposed terms and exceptions. A credit officer can accept, amend, request records or decline with evidence-based reasons; maker-checker controls separate proposal from approval where required. After disbursement, monitoring can flag material changes and servicing can prepare a reminder, payment-date adjustment or restructuring referral for authorized review.</w:t>
      </w:r>
    </w:p>
    <w:p>
      <w:r>
        <w:t>For example, if observed inflows fall sharply, the workflow first checks for a missing channel, seasonal pattern, account migration or data-ingestion delay. It compares new evidence with the approved cash calendar, estimates the effect on payment capacity and routes the case for review. The customer conversation can then establish what changed and what arrangements are workable. This keeps a noisy signal from becoming unnecessary pressure.</w:t>
      </w:r>
    </w:p>
    <w:p>
      <w:r>
        <w:t>Language models can extract records, summarize evidence, draft notes and route tasks. Statistical models estimate risk and uncertainty; calculation services produce cash bridges; policy engines apply approved rules. Reviewers can inspect sources, correct records and document decisions. Logs link identity, time, source, model and policy versions, approval, tool call and outcome to the correlation ID. Task-based access, pseudonymous identifiers, role controls and retention limits reduce unnecessary exposure; credit data stays within approved systems.</w:t>
      </w:r>
    </w:p>
    <w:p>
      <w:pPr>
        <w:pStyle w:val="Heading1"/>
      </w:pPr>
      <w:r>
        <w:rPr>
          <w:color w:val="000000"/>
        </w:rPr>
        <w:t>Kenya’s DCP and data-protection setting</w:t>
      </w:r>
    </w:p>
    <w:p>
      <w:r>
        <w:t>Kenya’s sector framework changed on 29 September 2026, when the Central Bank of Kenya (Non-Deposit Taking Credit Providers) Regulations, 2026 (Legal Notice 191) were published and commenced. Regulation 97 revokes the 2022 Digital Credit Providers Regulations. Regulation 3 covers non-deposit-taking credit business not regulated under another written law, with exclusions including banks, microfinance institutions, co-operatives, Saccos, credit-guarantee providers and certain regulated leasing or hire-purchase arrangements. Under regulation 96, existing LN46 licensees are deemed licensed under the new framework, while other existing in-scope providers have six months from publication to apply; accrued rights and liabilities continue. Regulation 60 addresses AI in lending decisions through customer information and explanations, human oversight, bias assessment, technical robustness, transparency, privacy and security. Providers should map these rules to their entity, product and transition position. [7]</w:t>
      </w:r>
    </w:p>
    <w:p>
      <w:r>
        <w:t>The Data Protection Act, 2019 and Data Protection (General) Regulations, 2021 govern personal-data processing in the lending workflow. Where a decision is based solely on automated processing and has legal or similarly significant effects, section 35 adds safeguards and rights to notification and reconsideration. Regulation 22 requires notice and meaningful information about logic, with fairness, error-prevention, statistical, bias-control and human-intervention safeguards. Section 31 requires a DPIA where processing is likely to create high risk; regulation 49 identifies relevant high-risk operations and regulations 50–53 set the assessment, consultation and audit process. The system should record sources and purposes, how an output affected a case, and how reviewers can correct errors and consider a customer’s explanation. The CBK’s regulation 60 separately addresses AI lending decisions for providers within its scope. [8], [9]</w:t>
      </w:r>
    </w:p>
    <w:p>
      <w:r>
        <w:t>Data quality is part of customer treatment. The lender should distinguish authorized account aggregation from inferred or third-party data, record source and purpose, and provide a practical path to correct inaccurate transaction labels. A challenged classification should be reviewed before it affects pricing, a limit change, collection treatment or bureau reporting. Human review should give the reviewer enough context to reconsider the recommendation.</w:t>
      </w:r>
    </w:p>
    <w:p>
      <w:pPr>
        <w:pStyle w:val="Heading1"/>
      </w:pPr>
      <w:r>
        <w:rPr>
          <w:color w:val="000000"/>
        </w:rPr>
        <w:t>Evidence, learning and responsible growth</w:t>
      </w:r>
    </w:p>
    <w:p>
      <w:r>
        <w:t>Cash-flow models should be tested against outcomes that answer the credit question. Predictive performance matters, alongside calibration, stability across business types, concentration, arrears timing, cure, restructuring, realised recovery, repeat borrowing and the borrower’s cash remaining after payment. CGAP’s work on small-business digital credit and transactional data describes transaction evidence as a potential source for underwriting and places assessment within a wider credit value chain that includes origination, servicing and collections. Peer-reviewed work also motivates careful testing: Berg et al. find that digital-footprint variables contain credit-scoring information in their study setting, while Chen et al. estimate effects of Alibaba FinTech credit on small-business volatility using a credit-score threshold. These studies inform the questions; they do not establish performance for Moniepoint, Nigeria or Kenya. [10]–[13]</w:t>
      </w:r>
    </w:p>
    <w:p>
      <w:r>
        <w:t>Pilots can test repayment cadence, limit steps, reminders or supportive interventions against a credible benchmark. Monitor approval, pricing, repayment, operating cash retained, complaints, repeat borrowing and borrower outcomes, across business type, gender, geography, data coverage and first-time status. Show uncertainty. When actions change outcomes, separate prediction from treatment effect; compare recipients and non-recipients only under a design that supports the inference.</w:t>
      </w:r>
    </w:p>
    <w:p>
      <w:r>
        <w:t>A DCP should learn from both success and failure. If customers repay through a different account, revise the data map. If instalments repeatedly conflict with sales timing, test the schedule. If collection produces payment but leaves the merchant without restocking cash, record that consequence in the outcome assessment. Underwrite for Collection treats realised payment, continuing cash-generating capacity and borrower experience as connected parts of credit performance.</w:t>
      </w:r>
    </w:p>
    <w:p>
      <w:pPr>
        <w:pStyle w:val="Heading1"/>
      </w:pPr>
      <w:r>
        <w:rPr>
          <w:color w:val="000000"/>
        </w:rPr>
        <w:t>The practical answer</w:t>
      </w:r>
    </w:p>
    <w:p>
      <w:r>
        <w:t>The cash-flow proposition becomes an operating standard when a lender establishes who generated cash, identifies what remains after obligations, fits payments to that capacity, monitors assumptions and learns from realised collection. Collateral remains a recovery route; identified receivables may be the contracted repayment source in a specific structure. Underwrite for Collection links these questions across affordability, facility structure, monitoring, servicing, collection and outcomes. Agentic workflows can coordinate that work when roles are bounded, calculations reproducible, data purpose-bound, decisions explainable and people retain meaningful authority.</w:t>
      </w:r>
    </w:p>
    <w:p>
      <w:pPr>
        <w:pStyle w:val="Heading1"/>
      </w:pPr>
      <w:r>
        <w:rPr>
          <w:color w:val="000000"/>
        </w:rPr>
        <w:t>References</w:t>
      </w:r>
    </w:p>
    <w:p>
      <w:r>
        <w:t>[1] K. Mgboji, “Cash flow, not collateral, should drive lending to Nigerian businesses, says Moniepoint CEO,” Nairametrics, Oct. 7, 2026. https://nairametrics.com/2026/10/07/cash-flow-not-collateral-should-drive-lending-to-nigerian-businesses-says-moniepoint-ceo/</w:t>
      </w:r>
    </w:p>
    <w:p>
      <w:r>
        <w:t>[2] Payments Africa, “Moniepoint CEO Advocates Cash Flow Over Collateral for Business Lending,” Oct. 8, 2026. https://www.paymentsafrica.news/articles/moniepoint-ceo-advocates-cash-flow-over-collateral-for-business-lending</w:t>
      </w:r>
    </w:p>
    <w:p>
      <w:r>
        <w:t>[3] T. Eniolorunda, LinkedIn post on credit layered onto payment flows and responsible use of transaction data, June 2026. https://www.linkedin.com/posts/tosin-eniolorunda-46833618_the-launch-of-the-nigeria-payments-system-activity-7467533754530496512-VoKE</w:t>
      </w:r>
    </w:p>
    <w:p>
      <w:r>
        <w:t>[4] EFInA and National Bureau of Statistics, “Access to Financial Services in Nigeria 2026 Survey: Report Highlights,” 2026. https://a2f.ng/download/8756/?tmstv=1791573600</w:t>
      </w:r>
    </w:p>
    <w:p>
      <w:r>
        <w:t>[5] Moniepoint, “Working Capital Loans.” https://moniepoint.com/ng/business/working-capital-loans</w:t>
      </w:r>
    </w:p>
    <w:p>
      <w:r>
        <w:t>[6] N. Maloba, Underwrite for Collection: An Integrated Research Whitepaper on Sustainable MSME Credit, 2026. Zenodo. https://doi.org/10.5281/zenodo.23343888</w:t>
      </w:r>
    </w:p>
    <w:p>
      <w:r>
        <w:t>[7] Central Bank of Kenya, “Central Bank of Kenya (Non-Deposit Taking Credit Providers) Regulations, 2026,” Legal Notice No. 191, Kenya Gazette Supplement No. 234, Sept. 29, 2026, regs. 3, 60, 96–97. https://new.kenyalaw.org/akn/ke/act/ln/2026/191/eng@2026-09-29/source.pdf</w:t>
      </w:r>
    </w:p>
    <w:p>
      <w:r>
        <w:t>[8] Data Protection Act, No. 24 of 2019, §§ 25, 31, 35. https://new.kenyalaw.org/akn/ke/act/2019/24/eng@2019-11-15/source</w:t>
      </w:r>
    </w:p>
    <w:p>
      <w:r>
        <w:t>[9] Data Protection (General) Regulations, 2021, regs. 22, 27–36, 49. https://new.kenyalaw.org/akn/ke/act/ln/2021/263/eng@2022-01-14/source</w:t>
      </w:r>
    </w:p>
    <w:p>
      <w:r>
        <w:t>[10] CGAP, “Digital Credit Models for Small Businesses,” Oct. 2019. https://www.cgap.org/research/publication/digital-credit-models-for-small-businesses</w:t>
      </w:r>
    </w:p>
    <w:p>
      <w:r>
        <w:t>[11] CGAP, “Leveraging Transactional Data for Micro and Small Enterprise Lending,” 2024. https://www.cgap.org/research/publication/leveraging-transactional-data-for-micro-and-small-enterprise-lending</w:t>
      </w:r>
    </w:p>
    <w:p>
      <w:r>
        <w:t xml:space="preserve">[12] T. Berg, V. Burg, A. Gombović, and M. Puri, “On the rise of FinTechs: Credit scoring using digital footprints,” </w:t>
      </w:r>
      <w:r>
        <w:rPr>
          <w:i/>
        </w:rPr>
        <w:t>The Review of Financial Studies</w:t>
      </w:r>
      <w:r>
        <w:t>, vol. 33, no. 7, pp. 2845–2897, 2020, doi: 10.1093/rfs/hhz099. https://academic.oup.com/rfs/article/33/7/2845/5568311.</w:t>
      </w:r>
    </w:p>
    <w:p>
      <w:r>
        <w:t xml:space="preserve">[13] T. Chen, Y. Huang, C. Lin, and Z. Sheng, “Finance and firm volatility: Evidence from small business lending in China,” </w:t>
      </w:r>
      <w:r>
        <w:rPr>
          <w:i/>
        </w:rPr>
        <w:t>Management Science</w:t>
      </w:r>
      <w:r>
        <w:t>, vol. 68, no. 3, pp. 2226–2249, 2022, doi: 10.1287/mnsc.2020.3942. https://pubsonline.informs.org/doi/10.1287/mnsc.2020.3942.</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Nevil Maloba  •  LinkedIn article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UNDERWRITE FOR COLLECTION  |  MONIEPOINT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