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58"/>
        </w:rPr>
        <w:t>NSE DIVIDEND-GROWTH</w:t>
        <w:br/>
        <w:t>DCA &amp; WATCHLIST RESEARCH</w:t>
      </w:r>
    </w:p>
    <w:p>
      <w:pPr>
        <w:spacing w:before="360"/>
        <w:jc w:val="center"/>
      </w:pPr>
      <w:r>
        <w:rPr>
          <w:color w:val="1F4E78"/>
          <w:sz w:val="34"/>
        </w:rPr>
        <w:t>A KES 100,000 Three-Month Deployment Framework</w:t>
        <w:br/>
        <w:t>with a Detailed NSE Watchlist</w:t>
      </w:r>
    </w:p>
    <w:p>
      <w:pPr>
        <w:spacing w:before="680"/>
        <w:jc w:val="center"/>
      </w:pPr>
      <w:r>
        <w:rPr>
          <w:b/>
          <w:sz w:val="24"/>
        </w:rPr>
        <w:t>Part 1: Dividend-Growth Dollar-Cost-Averaging Strategy</w:t>
        <w:br/>
        <w:t>Part 2: Detailed Watchlist and Portfolio Expansion Framework</w:t>
      </w:r>
    </w:p>
    <w:p>
      <w:pPr>
        <w:spacing w:before="800"/>
        <w:jc w:val="center"/>
      </w:pPr>
      <w:r>
        <w:rPr>
          <w:sz w:val="21"/>
        </w:rPr>
        <w:t>Research date: 10 September 2026</w:t>
        <w:br/>
        <w:t>Reference market close: 9 September 2026</w:t>
        <w:br/>
        <w:t>Citation style: IEEE</w:t>
      </w:r>
    </w:p>
    <w:p>
      <w:pPr>
        <w:spacing w:before="1100"/>
        <w:jc w:val="center"/>
      </w:pPr>
      <w:r>
        <w:rPr>
          <w:i/>
          <w:color w:val="5A5A5A"/>
          <w:sz w:val="18"/>
        </w:rPr>
        <w:t>Research and educational material. Historical dividends and yields are not guarantees of future distributions or returns.</w:t>
      </w:r>
    </w:p>
    <w:p>
      <w:r>
        <w:br w:type="page"/>
      </w:r>
    </w:p>
    <w:p>
      <w:pPr>
        <w:pStyle w:val="Heading1"/>
        <w:keepNext/>
      </w:pPr>
      <w:r>
        <w:t>Executive Note</w:t>
      </w:r>
    </w:p>
    <w:p>
      <w:pPr>
        <w:pStyle w:val="BodyText"/>
        <w:spacing w:after="120" w:line="259" w:lineRule="auto"/>
        <w:jc w:val="both"/>
      </w:pPr>
      <w:r>
        <w:t>This report develops the supplied NSE dividend-growth work into a two-part research document with one IEEE reference sequence. Part 1 enhances the KES 100,000 dividend-growth DCA portfolio and retains a three-month deployment period while explicitly budgeting statutory transaction costs, distinguishing ordinary and special dividends, and using one dated market-price snapshot. Part 2 expands the watchlist to 15 counters outside the core portfolio and evaluates each according to diversification value, dividend quality, liquidity, catalysts and principal risks. The analysis is deliberately portfolio-aware: an attractive individual bank is not automatically an attractive addition when the core already allocates 45% to banks.</w:t>
      </w:r>
    </w:p>
    <w:p>
      <w:pPr>
        <w:pStyle w:val="Heading1"/>
        <w:keepNext/>
      </w:pPr>
      <w:r>
        <w:t>Contents</w:t>
      </w:r>
    </w:p>
    <w:p>
      <w:pPr>
        <w:pStyle w:val="BodyText"/>
        <w:spacing w:after="40"/>
      </w:pPr>
      <w:r>
        <w:rPr>
          <w:b/>
        </w:rPr>
        <w:t>Part 1 — Dividend-Growth DCA Framework</w:t>
      </w:r>
    </w:p>
    <w:p>
      <w:pPr>
        <w:pStyle w:val="BodyText"/>
        <w:spacing w:after="40"/>
      </w:pPr>
      <w:r>
        <w:rPr>
          <w:b w:val="0"/>
        </w:rPr>
        <w:t>1. Introduction and Objective</w:t>
      </w:r>
    </w:p>
    <w:p>
      <w:pPr>
        <w:pStyle w:val="BodyText"/>
        <w:spacing w:after="40"/>
      </w:pPr>
      <w:r>
        <w:rPr>
          <w:b w:val="0"/>
        </w:rPr>
        <w:t>2. Why Dollar-Cost Averaging Is Appropriate Here</w:t>
      </w:r>
    </w:p>
    <w:p>
      <w:pPr>
        <w:pStyle w:val="BodyText"/>
        <w:spacing w:after="40"/>
      </w:pPr>
      <w:r>
        <w:rPr>
          <w:b w:val="0"/>
        </w:rPr>
        <w:t>3. NSE Market Structure and Retail Execution</w:t>
      </w:r>
    </w:p>
    <w:p>
      <w:pPr>
        <w:pStyle w:val="BodyText"/>
        <w:spacing w:after="40"/>
      </w:pPr>
      <w:r>
        <w:rPr>
          <w:b w:val="0"/>
        </w:rPr>
        <w:t>4. Dividend-Growth Screening Logic</w:t>
      </w:r>
    </w:p>
    <w:p>
      <w:pPr>
        <w:pStyle w:val="BodyText"/>
        <w:spacing w:after="40"/>
      </w:pPr>
      <w:r>
        <w:rPr>
          <w:b w:val="0"/>
        </w:rPr>
        <w:t>5. Core Portfolio: Price, Dividend and Yield Snapshot</w:t>
      </w:r>
    </w:p>
    <w:p>
      <w:pPr>
        <w:pStyle w:val="BodyText"/>
        <w:spacing w:after="40"/>
      </w:pPr>
      <w:r>
        <w:rPr>
          <w:b w:val="0"/>
        </w:rPr>
        <w:t>6. Target Allocation of the KES 100,000</w:t>
      </w:r>
    </w:p>
    <w:p>
      <w:pPr>
        <w:pStyle w:val="BodyText"/>
        <w:spacing w:after="40"/>
      </w:pPr>
      <w:r>
        <w:rPr>
          <w:b w:val="0"/>
        </w:rPr>
        <w:t>7. Transaction-Cost Budget and Investable Capital</w:t>
      </w:r>
    </w:p>
    <w:p>
      <w:pPr>
        <w:pStyle w:val="BodyText"/>
        <w:spacing w:after="40"/>
      </w:pPr>
      <w:r>
        <w:rPr>
          <w:b w:val="0"/>
        </w:rPr>
        <w:t>8. Three-Month DCA Execution Schedule</w:t>
      </w:r>
    </w:p>
    <w:p>
      <w:pPr>
        <w:pStyle w:val="BodyText"/>
        <w:spacing w:after="40"/>
      </w:pPr>
      <w:r>
        <w:rPr>
          <w:b w:val="0"/>
        </w:rPr>
        <w:t>9. Indicative Dividend Income and Tax</w:t>
      </w:r>
    </w:p>
    <w:p>
      <w:pPr>
        <w:pStyle w:val="BodyText"/>
        <w:spacing w:after="40"/>
      </w:pPr>
      <w:r>
        <w:rPr>
          <w:b w:val="0"/>
        </w:rPr>
        <w:t>10. Stress Testing the Income Thesis</w:t>
      </w:r>
    </w:p>
    <w:p>
      <w:pPr>
        <w:pStyle w:val="BodyText"/>
        <w:spacing w:after="40"/>
      </w:pPr>
      <w:r>
        <w:rPr>
          <w:b w:val="0"/>
        </w:rPr>
        <w:t>11. Reinvestment, Rebalancing and Long-Term Compounding</w:t>
      </w:r>
    </w:p>
    <w:p>
      <w:pPr>
        <w:pStyle w:val="BodyText"/>
        <w:spacing w:after="40"/>
      </w:pPr>
      <w:r>
        <w:rPr>
          <w:b w:val="0"/>
        </w:rPr>
        <w:t>12. Principal Risks and Part 1 Conclusion</w:t>
      </w:r>
    </w:p>
    <w:p>
      <w:pPr>
        <w:pStyle w:val="BodyText"/>
        <w:spacing w:after="40"/>
      </w:pPr>
      <w:r>
        <w:rPr>
          <w:b/>
        </w:rPr>
        <w:t>Part 2 — Detailed NSE Watchlist</w:t>
      </w:r>
    </w:p>
    <w:p>
      <w:pPr>
        <w:pStyle w:val="BodyText"/>
        <w:spacing w:after="40"/>
      </w:pPr>
      <w:r>
        <w:rPr>
          <w:b w:val="0"/>
        </w:rPr>
        <w:t>13. Purpose of the Watchlist</w:t>
      </w:r>
    </w:p>
    <w:p>
      <w:pPr>
        <w:pStyle w:val="BodyText"/>
        <w:spacing w:after="40"/>
      </w:pPr>
      <w:r>
        <w:rPr>
          <w:b w:val="0"/>
        </w:rPr>
        <w:t>14. Master Watchlist Snapshot</w:t>
      </w:r>
    </w:p>
    <w:p>
      <w:pPr>
        <w:pStyle w:val="BodyText"/>
        <w:spacing w:after="40"/>
      </w:pPr>
      <w:r>
        <w:rPr>
          <w:b w:val="0"/>
        </w:rPr>
        <w:t>15–20. Diversification Candidates</w:t>
      </w:r>
    </w:p>
    <w:p>
      <w:pPr>
        <w:pStyle w:val="BodyText"/>
        <w:spacing w:after="40"/>
      </w:pPr>
      <w:r>
        <w:rPr>
          <w:b w:val="0"/>
        </w:rPr>
        <w:t>21–24. Banking Alternatives / Replacements</w:t>
      </w:r>
    </w:p>
    <w:p>
      <w:pPr>
        <w:pStyle w:val="BodyText"/>
        <w:spacing w:after="40"/>
      </w:pPr>
      <w:r>
        <w:rPr>
          <w:b w:val="0"/>
        </w:rPr>
        <w:t>25–27. Higher-Risk and Value Opportunities</w:t>
      </w:r>
    </w:p>
    <w:p>
      <w:pPr>
        <w:pStyle w:val="BodyText"/>
        <w:spacing w:after="40"/>
      </w:pPr>
      <w:r>
        <w:rPr>
          <w:b w:val="0"/>
        </w:rPr>
        <w:t>28–30. Ranking, Monitoring and Future Capital</w:t>
      </w:r>
    </w:p>
    <w:p>
      <w:pPr>
        <w:pStyle w:val="BodyText"/>
        <w:spacing w:after="40"/>
      </w:pPr>
      <w:r>
        <w:rPr>
          <w:b w:val="0"/>
        </w:rPr>
        <w:t>31. Part 2 Conclusion</w:t>
      </w:r>
    </w:p>
    <w:p>
      <w:pPr>
        <w:pStyle w:val="BodyText"/>
        <w:spacing w:after="40"/>
      </w:pPr>
      <w:r>
        <w:rPr>
          <w:b/>
        </w:rPr>
        <w:t>IEEE References</w:t>
      </w:r>
    </w:p>
    <w:p>
      <w:r>
        <w:br w:type="page"/>
      </w:r>
    </w:p>
    <w:p>
      <w:pPr>
        <w:spacing w:before="600" w:after="480"/>
        <w:jc w:val="center"/>
      </w:pPr>
      <w:r>
        <w:rPr>
          <w:b/>
          <w:color w:val="16324F"/>
          <w:sz w:val="42"/>
        </w:rPr>
        <w:t>PART 1</w:t>
        <w:br/>
        <w:t>DIVIDEND-GROWTH DOLLAR-COST-AVERAGING STRATEGY</w:t>
      </w:r>
    </w:p>
    <w:p>
      <w:pPr>
        <w:pStyle w:val="Heading1"/>
        <w:keepNext/>
      </w:pPr>
      <w:r>
        <w:t>1. Introduction and Objective</w:t>
      </w:r>
    </w:p>
    <w:p>
      <w:pPr>
        <w:pStyle w:val="BodyText"/>
        <w:spacing w:after="120" w:line="259" w:lineRule="auto"/>
        <w:jc w:val="both"/>
      </w:pPr>
      <w:r>
        <w:t>A KES 100,000 investment in Nairobi Securities Exchange equities is large enough to build a deliberately diversified starter portfolio, but still small enough that excessive fragmentation, brokerage costs and poor entry discipline can materially damage returns. The objective of this report is therefore not to identify the single highest-yielding share. It is to construct a practical dividend-growth portfolio whose income stream is supported by credible businesses, whose sector exposures are understandable, and whose initial capital is deployed systematically over three months. The model retains the seven-counter core developed in the earlier analysis—Safaricom, Equity Group, Co-operative Bank, Standard Chartered Bank Kenya, BAT Kenya, East African Breweries and Nairobi Securities Exchange PLC—but strengthens the methodology, citation trail, cost treatment and risk controls.</w:t>
      </w:r>
    </w:p>
    <w:p>
      <w:pPr>
        <w:pStyle w:val="BodyText"/>
        <w:spacing w:after="120" w:line="259" w:lineRule="auto"/>
        <w:jc w:val="both"/>
      </w:pPr>
      <w:r>
        <w:t>The capital assumption is KES 100,000 in total, deployed across three monthly tranches. The three months are a deployment window, not a recommended holding period. Dividend investing is normally evaluated over years because the economic return comes from several channels: cash dividends, reinvestment of those dividends, growth in earnings and book value, and any eventual capital appreciation. A three-month horizon is too short to judge whether the underlying companies have created shareholder value. The purpose of staging the purchases is instead to reduce dependence on one entry date.</w:t>
      </w:r>
    </w:p>
    <w:p>
      <w:pPr>
        <w:pStyle w:val="BodyText"/>
        <w:spacing w:after="120" w:line="259" w:lineRule="auto"/>
        <w:jc w:val="both"/>
      </w:pPr>
      <w:r>
        <w:t>All share prices in the construction tables use the NSE market close of 9 September 2026 as a common reference snapshot. The market-data source shows Safaricom at KES 36.65, Equity at KES 101.50, Co-op at KES 37.85, Standard Chartered at KES 349.25, BAT at KES 559.00, EABL at KES 285.25 and NSE PLC at KES 28.20 [1]. These prices are not forecasts and should not be copied mechanically into October or November orders. They are a baseline for sizing and comparing current income yields.</w:t>
      </w:r>
    </w:p>
    <w:p>
      <w:pPr>
        <w:pStyle w:val="Heading1"/>
        <w:keepNext/>
      </w:pPr>
      <w:r>
        <w:t>2. Why Dollar-Cost Averaging Is Appropriate Here</w:t>
      </w:r>
    </w:p>
    <w:p>
      <w:pPr>
        <w:pStyle w:val="BodyText"/>
        <w:spacing w:after="120" w:line="259" w:lineRule="auto"/>
        <w:jc w:val="both"/>
      </w:pPr>
      <w:r>
        <w:t>Dollar-cost averaging (DCA) means investing a fixed or approximately fixed amount at predetermined intervals rather than attempting to predict the market's short-term high and low points. Standard Chartered's investor education material describes the mechanism directly: the same cash contribution buys more units when prices decline and fewer when prices rise, which can reduce timing risk and help remove emotional decision-making [4]. DCA does not guarantee a profit, and it cannot rescue a weak company. Its advantage in this project is behavioural and procedural: the investor decides the capital allocation before being exposed to daily price noise.</w:t>
      </w:r>
    </w:p>
    <w:p>
      <w:pPr>
        <w:pStyle w:val="BodyText"/>
        <w:spacing w:after="120" w:line="259" w:lineRule="auto"/>
        <w:jc w:val="both"/>
      </w:pPr>
      <w:r>
        <w:t>The strategy is particularly relevant after a strong market advance. Market-level data on 9 September 2026 indicated that the Kenyan market had risen materially over the preceding year, while several individual counters in both the core portfolio and watchlist were close to their recent highs [35]. Under those circumstances, investing the full KES 100,000 on a single day would create concentration in time as well as concentration by security. Splitting the commitment into approximately KES 33,333 of cash per month limits the damage if the first entry occurs immediately before a correction. The trade-off is that, if prices keep rising, later tranches buy fewer shares and the eventual average cost may be higher than a successful lump-sum purchase.</w:t>
      </w:r>
    </w:p>
    <w:p>
      <w:pPr>
        <w:pStyle w:val="BodyText"/>
        <w:spacing w:after="120" w:line="259" w:lineRule="auto"/>
        <w:jc w:val="both"/>
      </w:pPr>
      <w:r>
        <w:t>The DCA rule used here is therefore simple: preserve the strategic weights, but recalculate the number of whole shares from the live price on each purchase date. Do not preserve the September share counts. A falling Safaricom price should naturally produce a larger quantity from the same monthly allocation; a rising price should produce fewer shares. This makes cash discipline—not prediction—the central execution variable.</w:t>
      </w:r>
    </w:p>
    <w:p>
      <w:pPr>
        <w:pStyle w:val="Heading1"/>
        <w:keepNext/>
      </w:pPr>
      <w:r>
        <w:t>3. NSE Market Structure and Retail Execution</w:t>
      </w:r>
    </w:p>
    <w:p>
      <w:pPr>
        <w:pStyle w:val="BodyText"/>
        <w:spacing w:after="120" w:line="259" w:lineRule="auto"/>
        <w:jc w:val="both"/>
      </w:pPr>
      <w:r>
        <w:t>The feasibility of small monthly allocations improved materially after the NSE moved away from the historic 100-share board-lot convention. The Capital Markets Authority reported that single-share trading was introduced so that securities could trade in multiples of one, lowering the entry barrier for retail investors [3]. This matters for a KES 100,000 diversified portfolio because high-priced names such as BAT and Standard Chartered can now be accumulated without needing to purchase a block of 100 shares. The reform supports finer portfolio weighting and makes DCA more practical.</w:t>
      </w:r>
    </w:p>
    <w:p>
      <w:pPr>
        <w:pStyle w:val="BodyText"/>
        <w:spacing w:after="120" w:line="259" w:lineRule="auto"/>
        <w:jc w:val="both"/>
      </w:pPr>
      <w:r>
        <w:t>Liquidity still matters even when the minimum lot is one share. A small-lot rule solves the mechanical problem of minimum quantity; it does not solve the economic problem of a wide bid-ask spread or an illiquid order book. The 9 September price list illustrates the distinction. Safaricom traded about 2.00 million shares, Equity about 3.58 million and Co-op about 719,498, while some watchlist industrial and agricultural names traded only a few thousand shares [1]. A retail investor should therefore prefer limit orders in thin counters, avoid assuming that the last-traded price is available for a large order, and resist chasing a sudden price spike simply because a share can technically be purchased one unit at a time.</w:t>
      </w:r>
    </w:p>
    <w:p>
      <w:pPr>
        <w:pStyle w:val="BodyText"/>
        <w:spacing w:after="120" w:line="259" w:lineRule="auto"/>
        <w:jc w:val="both"/>
      </w:pPr>
      <w:r>
        <w:t>The project also treats trading costs as part of the investment decision rather than as an afterthought. Under the Capital Markets (Licensing Requirements)(General) Regulations, 2025, secondary equity transactions up to KES 100,000 have a maximum total investor cost of 2.10%, composed of brokerage and specified NSE, CMA and CDSC-related charges [2]. Actual broker pricing can be lower or structured differently, but the statutory maximum is a prudent budgeting assumption for a conservative model.</w:t>
      </w:r>
    </w:p>
    <w:p>
      <w:pPr>
        <w:pStyle w:val="Heading1"/>
        <w:keepNext/>
      </w:pPr>
      <w:r>
        <w:t>4. Dividend-Growth Screening Logic</w:t>
      </w:r>
    </w:p>
    <w:p>
      <w:pPr>
        <w:pStyle w:val="BodyText"/>
        <w:spacing w:after="120" w:line="259" w:lineRule="auto"/>
        <w:jc w:val="both"/>
      </w:pPr>
      <w:r>
        <w:t>The portfolio is designed around dividend growth rather than dividend yield in isolation. A very high yield can be healthy when it reflects a cash-generative mature business trading at a reasonable valuation, but it can also be a warning sign caused by a collapsing share price, an exceptional one-off distribution or a payout that exceeds sustainable earnings. Consequently, each selected company is evaluated on three broad dimensions: the current cash yield, evidence that the underlying business can continue generating distributable cash, and the portfolio role the company plays relative to the other holdings.</w:t>
      </w:r>
    </w:p>
    <w:p>
      <w:pPr>
        <w:pStyle w:val="BodyText"/>
        <w:spacing w:after="120" w:line="259" w:lineRule="auto"/>
        <w:jc w:val="both"/>
      </w:pPr>
      <w:r>
        <w:t>Safaricom anchors the portfolio with telecommunications, data and mobile-money exposure. The company paid KES 0.85 interim and KES 1.15 final for FY2026, bringing the annual distribution to KES 2.00 per share and approximately KES 80.13 billion in aggregate [7]. At KES 36.65, the trailing annual cash yield is about 5.46%. The case for Safaricom is therefore not merely its current yield. It combines a recurring distribution with exposure to digital financial services and a business model different from banking, alcohol and tobacco.</w:t>
      </w:r>
    </w:p>
    <w:p>
      <w:pPr>
        <w:pStyle w:val="BodyText"/>
        <w:spacing w:after="120" w:line="259" w:lineRule="auto"/>
        <w:jc w:val="both"/>
      </w:pPr>
      <w:r>
        <w:t>Equity Group's FY2025 dividend rose to KES 5.75 per share from KES 4.25 for FY2024, with an aggregate payout of about KES 21.7 billion [8]. Co-operative Bank's FY2025 total dividend reached KES 2.50 per share after the bank introduced a KES 1.00 interim distribution and proposed/paid a KES 1.50 final dividend; its integrated report also recorded FY2025 profit after tax of KES 29.8 billion, up 16.9% [9]. These two banks therefore bring both earnings growth and distribution growth, although their combined presence with Standard Chartered makes sector concentration a central portfolio risk.</w:t>
      </w:r>
    </w:p>
    <w:p>
      <w:pPr>
        <w:pStyle w:val="BodyText"/>
        <w:spacing w:after="120" w:line="259" w:lineRule="auto"/>
        <w:jc w:val="both"/>
      </w:pPr>
      <w:r>
        <w:t>Standard Chartered Kenya is the income-oriented bank within the core. Its FY2025 distribution comprised an interim KES 8 and final KES 23, or KES 31 per share in total, according to its 2026 investor materials [10]. BAT Kenya's FY2025 report shows an interim KES 10 plus a proposed final KES 60, producing KES 70 per share in total [11]. Both produce high nominal cash yields at the September reference prices, but neither should be allowed to dominate merely because of the yield. Standard Chartered is sensitive to banking profitability, capital and credit conditions; BAT carries concentrated regulatory, excise, illicit-trade and long-term consumption risks.</w:t>
      </w:r>
    </w:p>
    <w:p>
      <w:pPr>
        <w:pStyle w:val="BodyText"/>
        <w:spacing w:after="120" w:line="259" w:lineRule="auto"/>
        <w:jc w:val="both"/>
      </w:pPr>
      <w:r>
        <w:t>EABL supplies consumer-sector diversification. Its FY2026 financial-results suite reported stronger profitability and a total dividend of KES 12.70 per share [12]. NSE PLC, meanwhile, gives direct exposure to market infrastructure, transaction activity and listings. Its FY2025 distribution of KES 1.00 included a KES 0.27 special component and a KES 0.73 ordinary component [13]. That distinction is important: the headline 3.55% yield on KES 1.00 is not a normalized recurring yield. Using only KES 0.73 would produce a yield of about 2.59% at KES 28.20.</w:t>
      </w:r>
    </w:p>
    <w:p>
      <w:pPr>
        <w:pStyle w:val="Heading1"/>
        <w:keepNext/>
      </w:pPr>
      <w:r>
        <w:t>5. Core Portfolio: Price, Dividend and Yield Snapshot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4E78"/>
            <w:vAlign w:val="center"/>
            <w:tcMar>
              <w:top w:w="70" w:type="dxa"/>
              <w:start w:w="90" w:type="dxa"/>
              <w:bottom w:w="70" w:type="dxa"/>
              <w:end w:w="90" w:type="dxa"/>
            </w:tcMar>
          </w:tcPr>
          <w:p>
            <w:r>
              <w:rPr>
                <w:b/>
                <w:color w:val="FFFFFF"/>
                <w:sz w:val="16"/>
              </w:rPr>
              <w:t>Counter</w:t>
            </w:r>
          </w:p>
        </w:tc>
        <w:tc>
          <w:tcPr>
            <w:tcW w:type="dxa" w:w="1694"/>
            <w:shd w:fill="1F4E78"/>
            <w:vAlign w:val="center"/>
            <w:tcMar>
              <w:top w:w="70" w:type="dxa"/>
              <w:start w:w="90" w:type="dxa"/>
              <w:bottom w:w="70" w:type="dxa"/>
              <w:end w:w="90" w:type="dxa"/>
            </w:tcMar>
          </w:tcPr>
          <w:p>
            <w:r>
              <w:rPr>
                <w:b/>
                <w:color w:val="FFFFFF"/>
                <w:sz w:val="16"/>
              </w:rPr>
              <w:t>Price KES</w:t>
            </w:r>
          </w:p>
        </w:tc>
        <w:tc>
          <w:tcPr>
            <w:tcW w:type="dxa" w:w="1694"/>
            <w:shd w:fill="1F4E78"/>
            <w:vAlign w:val="center"/>
            <w:tcMar>
              <w:top w:w="70" w:type="dxa"/>
              <w:start w:w="90" w:type="dxa"/>
              <w:bottom w:w="70" w:type="dxa"/>
              <w:end w:w="90" w:type="dxa"/>
            </w:tcMar>
          </w:tcPr>
          <w:p>
            <w:r>
              <w:rPr>
                <w:b/>
                <w:color w:val="FFFFFF"/>
                <w:sz w:val="16"/>
              </w:rPr>
              <w:t>Recent DPS KES</w:t>
            </w:r>
          </w:p>
        </w:tc>
        <w:tc>
          <w:tcPr>
            <w:tcW w:type="dxa" w:w="1694"/>
            <w:shd w:fill="1F4E78"/>
            <w:vAlign w:val="center"/>
            <w:tcMar>
              <w:top w:w="70" w:type="dxa"/>
              <w:start w:w="90" w:type="dxa"/>
              <w:bottom w:w="70" w:type="dxa"/>
              <w:end w:w="90" w:type="dxa"/>
            </w:tcMar>
          </w:tcPr>
          <w:p>
            <w:r>
              <w:rPr>
                <w:b/>
                <w:color w:val="FFFFFF"/>
                <w:sz w:val="16"/>
              </w:rPr>
              <w:t>Indicative yield</w:t>
            </w:r>
          </w:p>
        </w:tc>
        <w:tc>
          <w:tcPr>
            <w:tcW w:type="dxa" w:w="1694"/>
            <w:shd w:fill="1F4E78"/>
            <w:vAlign w:val="center"/>
            <w:tcMar>
              <w:top w:w="70" w:type="dxa"/>
              <w:start w:w="90" w:type="dxa"/>
              <w:bottom w:w="70" w:type="dxa"/>
              <w:end w:w="90" w:type="dxa"/>
            </w:tcMar>
          </w:tcPr>
          <w:p>
            <w:r>
              <w:rPr>
                <w:b/>
                <w:color w:val="FFFFFF"/>
                <w:sz w:val="16"/>
              </w:rPr>
              <w:t>Target wt.</w:t>
            </w:r>
          </w:p>
        </w:tc>
        <w:tc>
          <w:tcPr>
            <w:tcW w:type="dxa" w:w="1694"/>
            <w:shd w:fill="1F4E78"/>
            <w:vAlign w:val="center"/>
            <w:tcMar>
              <w:top w:w="70" w:type="dxa"/>
              <w:start w:w="90" w:type="dxa"/>
              <w:bottom w:w="70" w:type="dxa"/>
              <w:end w:w="90" w:type="dxa"/>
            </w:tcMar>
          </w:tcPr>
          <w:p>
            <w:r>
              <w:rPr>
                <w:b/>
                <w:color w:val="FFFFFF"/>
                <w:sz w:val="16"/>
              </w:rPr>
              <w:t>Portfolio role</w:t>
            </w:r>
          </w:p>
        </w:tc>
      </w:tr>
      <w:tr>
        <w:trPr>
          <w:cantSplit/>
        </w:trPr>
        <w:tc>
          <w:tcPr>
            <w:tcW w:type="dxa" w:w="1694"/>
            <w:vAlign w:val="center"/>
            <w:tcMar>
              <w:top w:w="70" w:type="dxa"/>
              <w:start w:w="90" w:type="dxa"/>
              <w:bottom w:w="70" w:type="dxa"/>
              <w:end w:w="90" w:type="dxa"/>
            </w:tcMar>
          </w:tcPr>
          <w:p>
            <w:r>
              <w:rPr>
                <w:sz w:val="16"/>
              </w:rPr>
              <w:t>Safaricom (SCOM)</w:t>
            </w:r>
          </w:p>
        </w:tc>
        <w:tc>
          <w:tcPr>
            <w:tcW w:type="dxa" w:w="1694"/>
            <w:vAlign w:val="center"/>
            <w:tcMar>
              <w:top w:w="70" w:type="dxa"/>
              <w:start w:w="90" w:type="dxa"/>
              <w:bottom w:w="70" w:type="dxa"/>
              <w:end w:w="90" w:type="dxa"/>
            </w:tcMar>
          </w:tcPr>
          <w:p>
            <w:r>
              <w:rPr>
                <w:sz w:val="16"/>
              </w:rPr>
              <w:t>36.65</w:t>
            </w:r>
          </w:p>
        </w:tc>
        <w:tc>
          <w:tcPr>
            <w:tcW w:type="dxa" w:w="1694"/>
            <w:vAlign w:val="center"/>
            <w:tcMar>
              <w:top w:w="70" w:type="dxa"/>
              <w:start w:w="90" w:type="dxa"/>
              <w:bottom w:w="70" w:type="dxa"/>
              <w:end w:w="90" w:type="dxa"/>
            </w:tcMar>
          </w:tcPr>
          <w:p>
            <w:r>
              <w:rPr>
                <w:sz w:val="16"/>
              </w:rPr>
              <w:t>2.00</w:t>
            </w:r>
          </w:p>
        </w:tc>
        <w:tc>
          <w:tcPr>
            <w:tcW w:type="dxa" w:w="1694"/>
            <w:vAlign w:val="center"/>
            <w:tcMar>
              <w:top w:w="70" w:type="dxa"/>
              <w:start w:w="90" w:type="dxa"/>
              <w:bottom w:w="70" w:type="dxa"/>
              <w:end w:w="90" w:type="dxa"/>
            </w:tcMar>
          </w:tcPr>
          <w:p>
            <w:r>
              <w:rPr>
                <w:sz w:val="16"/>
              </w:rPr>
              <w:t>5.46%</w:t>
            </w:r>
          </w:p>
        </w:tc>
        <w:tc>
          <w:tcPr>
            <w:tcW w:type="dxa" w:w="1694"/>
            <w:vAlign w:val="center"/>
            <w:tcMar>
              <w:top w:w="70" w:type="dxa"/>
              <w:start w:w="90" w:type="dxa"/>
              <w:bottom w:w="70" w:type="dxa"/>
              <w:end w:w="90" w:type="dxa"/>
            </w:tcMar>
          </w:tcPr>
          <w:p>
            <w:r>
              <w:rPr>
                <w:sz w:val="16"/>
              </w:rPr>
              <w:t>20%</w:t>
            </w:r>
          </w:p>
        </w:tc>
        <w:tc>
          <w:tcPr>
            <w:tcW w:type="dxa" w:w="1694"/>
            <w:vAlign w:val="center"/>
            <w:tcMar>
              <w:top w:w="70" w:type="dxa"/>
              <w:start w:w="90" w:type="dxa"/>
              <w:bottom w:w="70" w:type="dxa"/>
              <w:end w:w="90" w:type="dxa"/>
            </w:tcMar>
          </w:tcPr>
          <w:p>
            <w:r>
              <w:rPr>
                <w:sz w:val="16"/>
              </w:rPr>
              <w:t>Core growth + income; telecom/data/mobile money</w:t>
            </w:r>
          </w:p>
        </w:tc>
      </w:tr>
      <w:tr>
        <w:trPr>
          <w:cantSplit/>
        </w:trPr>
        <w:tc>
          <w:tcPr>
            <w:tcW w:type="dxa" w:w="1694"/>
            <w:shd w:fill="EAF2F8"/>
            <w:vAlign w:val="center"/>
            <w:tcMar>
              <w:top w:w="70" w:type="dxa"/>
              <w:start w:w="90" w:type="dxa"/>
              <w:bottom w:w="70" w:type="dxa"/>
              <w:end w:w="90" w:type="dxa"/>
            </w:tcMar>
          </w:tcPr>
          <w:p>
            <w:r>
              <w:rPr>
                <w:sz w:val="16"/>
              </w:rPr>
              <w:t>Equity Group (EQTY)</w:t>
            </w:r>
          </w:p>
        </w:tc>
        <w:tc>
          <w:tcPr>
            <w:tcW w:type="dxa" w:w="1694"/>
            <w:shd w:fill="EAF2F8"/>
            <w:vAlign w:val="center"/>
            <w:tcMar>
              <w:top w:w="70" w:type="dxa"/>
              <w:start w:w="90" w:type="dxa"/>
              <w:bottom w:w="70" w:type="dxa"/>
              <w:end w:w="90" w:type="dxa"/>
            </w:tcMar>
          </w:tcPr>
          <w:p>
            <w:r>
              <w:rPr>
                <w:sz w:val="16"/>
              </w:rPr>
              <w:t>101.50</w:t>
            </w:r>
          </w:p>
        </w:tc>
        <w:tc>
          <w:tcPr>
            <w:tcW w:type="dxa" w:w="1694"/>
            <w:shd w:fill="EAF2F8"/>
            <w:vAlign w:val="center"/>
            <w:tcMar>
              <w:top w:w="70" w:type="dxa"/>
              <w:start w:w="90" w:type="dxa"/>
              <w:bottom w:w="70" w:type="dxa"/>
              <w:end w:w="90" w:type="dxa"/>
            </w:tcMar>
          </w:tcPr>
          <w:p>
            <w:r>
              <w:rPr>
                <w:sz w:val="16"/>
              </w:rPr>
              <w:t>5.75</w:t>
            </w:r>
          </w:p>
        </w:tc>
        <w:tc>
          <w:tcPr>
            <w:tcW w:type="dxa" w:w="1694"/>
            <w:shd w:fill="EAF2F8"/>
            <w:vAlign w:val="center"/>
            <w:tcMar>
              <w:top w:w="70" w:type="dxa"/>
              <w:start w:w="90" w:type="dxa"/>
              <w:bottom w:w="70" w:type="dxa"/>
              <w:end w:w="90" w:type="dxa"/>
            </w:tcMar>
          </w:tcPr>
          <w:p>
            <w:r>
              <w:rPr>
                <w:sz w:val="16"/>
              </w:rPr>
              <w:t>5.67%</w:t>
            </w:r>
          </w:p>
        </w:tc>
        <w:tc>
          <w:tcPr>
            <w:tcW w:type="dxa" w:w="1694"/>
            <w:shd w:fill="EAF2F8"/>
            <w:vAlign w:val="center"/>
            <w:tcMar>
              <w:top w:w="70" w:type="dxa"/>
              <w:start w:w="90" w:type="dxa"/>
              <w:bottom w:w="70" w:type="dxa"/>
              <w:end w:w="90" w:type="dxa"/>
            </w:tcMar>
          </w:tcPr>
          <w:p>
            <w:r>
              <w:rPr>
                <w:sz w:val="16"/>
              </w:rPr>
              <w:t>15%</w:t>
            </w:r>
          </w:p>
        </w:tc>
        <w:tc>
          <w:tcPr>
            <w:tcW w:type="dxa" w:w="1694"/>
            <w:shd w:fill="EAF2F8"/>
            <w:vAlign w:val="center"/>
            <w:tcMar>
              <w:top w:w="70" w:type="dxa"/>
              <w:start w:w="90" w:type="dxa"/>
              <w:bottom w:w="70" w:type="dxa"/>
              <w:end w:w="90" w:type="dxa"/>
            </w:tcMar>
          </w:tcPr>
          <w:p>
            <w:r>
              <w:rPr>
                <w:sz w:val="16"/>
              </w:rPr>
              <w:t>Regional banking growth and rising payout</w:t>
            </w:r>
          </w:p>
        </w:tc>
      </w:tr>
      <w:tr>
        <w:trPr>
          <w:cantSplit/>
        </w:trPr>
        <w:tc>
          <w:tcPr>
            <w:tcW w:type="dxa" w:w="1694"/>
            <w:vAlign w:val="center"/>
            <w:tcMar>
              <w:top w:w="70" w:type="dxa"/>
              <w:start w:w="90" w:type="dxa"/>
              <w:bottom w:w="70" w:type="dxa"/>
              <w:end w:w="90" w:type="dxa"/>
            </w:tcMar>
          </w:tcPr>
          <w:p>
            <w:r>
              <w:rPr>
                <w:sz w:val="16"/>
              </w:rPr>
              <w:t>Co-operative Bank (COOP)</w:t>
            </w:r>
          </w:p>
        </w:tc>
        <w:tc>
          <w:tcPr>
            <w:tcW w:type="dxa" w:w="1694"/>
            <w:vAlign w:val="center"/>
            <w:tcMar>
              <w:top w:w="70" w:type="dxa"/>
              <w:start w:w="90" w:type="dxa"/>
              <w:bottom w:w="70" w:type="dxa"/>
              <w:end w:w="90" w:type="dxa"/>
            </w:tcMar>
          </w:tcPr>
          <w:p>
            <w:r>
              <w:rPr>
                <w:sz w:val="16"/>
              </w:rPr>
              <w:t>37.85</w:t>
            </w:r>
          </w:p>
        </w:tc>
        <w:tc>
          <w:tcPr>
            <w:tcW w:type="dxa" w:w="1694"/>
            <w:vAlign w:val="center"/>
            <w:tcMar>
              <w:top w:w="70" w:type="dxa"/>
              <w:start w:w="90" w:type="dxa"/>
              <w:bottom w:w="70" w:type="dxa"/>
              <w:end w:w="90" w:type="dxa"/>
            </w:tcMar>
          </w:tcPr>
          <w:p>
            <w:r>
              <w:rPr>
                <w:sz w:val="16"/>
              </w:rPr>
              <w:t>2.50</w:t>
            </w:r>
          </w:p>
        </w:tc>
        <w:tc>
          <w:tcPr>
            <w:tcW w:type="dxa" w:w="1694"/>
            <w:vAlign w:val="center"/>
            <w:tcMar>
              <w:top w:w="70" w:type="dxa"/>
              <w:start w:w="90" w:type="dxa"/>
              <w:bottom w:w="70" w:type="dxa"/>
              <w:end w:w="90" w:type="dxa"/>
            </w:tcMar>
          </w:tcPr>
          <w:p>
            <w:r>
              <w:rPr>
                <w:sz w:val="16"/>
              </w:rPr>
              <w:t>6.61%</w:t>
            </w:r>
          </w:p>
        </w:tc>
        <w:tc>
          <w:tcPr>
            <w:tcW w:type="dxa" w:w="1694"/>
            <w:vAlign w:val="center"/>
            <w:tcMar>
              <w:top w:w="70" w:type="dxa"/>
              <w:start w:w="90" w:type="dxa"/>
              <w:bottom w:w="70" w:type="dxa"/>
              <w:end w:w="90" w:type="dxa"/>
            </w:tcMar>
          </w:tcPr>
          <w:p>
            <w:r>
              <w:rPr>
                <w:sz w:val="16"/>
              </w:rPr>
              <w:t>15%</w:t>
            </w:r>
          </w:p>
        </w:tc>
        <w:tc>
          <w:tcPr>
            <w:tcW w:type="dxa" w:w="1694"/>
            <w:vAlign w:val="center"/>
            <w:tcMar>
              <w:top w:w="70" w:type="dxa"/>
              <w:start w:w="90" w:type="dxa"/>
              <w:bottom w:w="70" w:type="dxa"/>
              <w:end w:w="90" w:type="dxa"/>
            </w:tcMar>
          </w:tcPr>
          <w:p>
            <w:r>
              <w:rPr>
                <w:sz w:val="16"/>
              </w:rPr>
              <w:t>Income-oriented banking; broad domestic franchise</w:t>
            </w:r>
          </w:p>
        </w:tc>
      </w:tr>
      <w:tr>
        <w:trPr>
          <w:cantSplit/>
        </w:trPr>
        <w:tc>
          <w:tcPr>
            <w:tcW w:type="dxa" w:w="1694"/>
            <w:shd w:fill="EAF2F8"/>
            <w:vAlign w:val="center"/>
            <w:tcMar>
              <w:top w:w="70" w:type="dxa"/>
              <w:start w:w="90" w:type="dxa"/>
              <w:bottom w:w="70" w:type="dxa"/>
              <w:end w:w="90" w:type="dxa"/>
            </w:tcMar>
          </w:tcPr>
          <w:p>
            <w:r>
              <w:rPr>
                <w:sz w:val="16"/>
              </w:rPr>
              <w:t>Standard Chartered Kenya (SCBK)</w:t>
            </w:r>
          </w:p>
        </w:tc>
        <w:tc>
          <w:tcPr>
            <w:tcW w:type="dxa" w:w="1694"/>
            <w:shd w:fill="EAF2F8"/>
            <w:vAlign w:val="center"/>
            <w:tcMar>
              <w:top w:w="70" w:type="dxa"/>
              <w:start w:w="90" w:type="dxa"/>
              <w:bottom w:w="70" w:type="dxa"/>
              <w:end w:w="90" w:type="dxa"/>
            </w:tcMar>
          </w:tcPr>
          <w:p>
            <w:r>
              <w:rPr>
                <w:sz w:val="16"/>
              </w:rPr>
              <w:t>349.25</w:t>
            </w:r>
          </w:p>
        </w:tc>
        <w:tc>
          <w:tcPr>
            <w:tcW w:type="dxa" w:w="1694"/>
            <w:shd w:fill="EAF2F8"/>
            <w:vAlign w:val="center"/>
            <w:tcMar>
              <w:top w:w="70" w:type="dxa"/>
              <w:start w:w="90" w:type="dxa"/>
              <w:bottom w:w="70" w:type="dxa"/>
              <w:end w:w="90" w:type="dxa"/>
            </w:tcMar>
          </w:tcPr>
          <w:p>
            <w:r>
              <w:rPr>
                <w:sz w:val="16"/>
              </w:rPr>
              <w:t>31.00</w:t>
            </w:r>
          </w:p>
        </w:tc>
        <w:tc>
          <w:tcPr>
            <w:tcW w:type="dxa" w:w="1694"/>
            <w:shd w:fill="EAF2F8"/>
            <w:vAlign w:val="center"/>
            <w:tcMar>
              <w:top w:w="70" w:type="dxa"/>
              <w:start w:w="90" w:type="dxa"/>
              <w:bottom w:w="70" w:type="dxa"/>
              <w:end w:w="90" w:type="dxa"/>
            </w:tcMar>
          </w:tcPr>
          <w:p>
            <w:r>
              <w:rPr>
                <w:sz w:val="16"/>
              </w:rPr>
              <w:t>8.88%</w:t>
            </w:r>
          </w:p>
        </w:tc>
        <w:tc>
          <w:tcPr>
            <w:tcW w:type="dxa" w:w="1694"/>
            <w:shd w:fill="EAF2F8"/>
            <w:vAlign w:val="center"/>
            <w:tcMar>
              <w:top w:w="70" w:type="dxa"/>
              <w:start w:w="90" w:type="dxa"/>
              <w:bottom w:w="70" w:type="dxa"/>
              <w:end w:w="90" w:type="dxa"/>
            </w:tcMar>
          </w:tcPr>
          <w:p>
            <w:r>
              <w:rPr>
                <w:sz w:val="16"/>
              </w:rPr>
              <w:t>15%</w:t>
            </w:r>
          </w:p>
        </w:tc>
        <w:tc>
          <w:tcPr>
            <w:tcW w:type="dxa" w:w="1694"/>
            <w:shd w:fill="EAF2F8"/>
            <w:vAlign w:val="center"/>
            <w:tcMar>
              <w:top w:w="70" w:type="dxa"/>
              <w:start w:w="90" w:type="dxa"/>
              <w:bottom w:w="70" w:type="dxa"/>
              <w:end w:w="90" w:type="dxa"/>
            </w:tcMar>
          </w:tcPr>
          <w:p>
            <w:r>
              <w:rPr>
                <w:sz w:val="16"/>
              </w:rPr>
              <w:t>High-income banking and capital discipline</w:t>
            </w:r>
          </w:p>
        </w:tc>
      </w:tr>
      <w:tr>
        <w:trPr>
          <w:cantSplit/>
        </w:trPr>
        <w:tc>
          <w:tcPr>
            <w:tcW w:type="dxa" w:w="1694"/>
            <w:vAlign w:val="center"/>
            <w:tcMar>
              <w:top w:w="70" w:type="dxa"/>
              <w:start w:w="90" w:type="dxa"/>
              <w:bottom w:w="70" w:type="dxa"/>
              <w:end w:w="90" w:type="dxa"/>
            </w:tcMar>
          </w:tcPr>
          <w:p>
            <w:r>
              <w:rPr>
                <w:sz w:val="16"/>
              </w:rPr>
              <w:t>BAT Kenya (BAT)</w:t>
            </w:r>
          </w:p>
        </w:tc>
        <w:tc>
          <w:tcPr>
            <w:tcW w:type="dxa" w:w="1694"/>
            <w:vAlign w:val="center"/>
            <w:tcMar>
              <w:top w:w="70" w:type="dxa"/>
              <w:start w:w="90" w:type="dxa"/>
              <w:bottom w:w="70" w:type="dxa"/>
              <w:end w:w="90" w:type="dxa"/>
            </w:tcMar>
          </w:tcPr>
          <w:p>
            <w:r>
              <w:rPr>
                <w:sz w:val="16"/>
              </w:rPr>
              <w:t>559.00</w:t>
            </w:r>
          </w:p>
        </w:tc>
        <w:tc>
          <w:tcPr>
            <w:tcW w:type="dxa" w:w="1694"/>
            <w:vAlign w:val="center"/>
            <w:tcMar>
              <w:top w:w="70" w:type="dxa"/>
              <w:start w:w="90" w:type="dxa"/>
              <w:bottom w:w="70" w:type="dxa"/>
              <w:end w:w="90" w:type="dxa"/>
            </w:tcMar>
          </w:tcPr>
          <w:p>
            <w:r>
              <w:rPr>
                <w:sz w:val="16"/>
              </w:rPr>
              <w:t>70.00</w:t>
            </w:r>
          </w:p>
        </w:tc>
        <w:tc>
          <w:tcPr>
            <w:tcW w:type="dxa" w:w="1694"/>
            <w:vAlign w:val="center"/>
            <w:tcMar>
              <w:top w:w="70" w:type="dxa"/>
              <w:start w:w="90" w:type="dxa"/>
              <w:bottom w:w="70" w:type="dxa"/>
              <w:end w:w="90" w:type="dxa"/>
            </w:tcMar>
          </w:tcPr>
          <w:p>
            <w:r>
              <w:rPr>
                <w:sz w:val="16"/>
              </w:rPr>
              <w:t>12.52%</w:t>
            </w:r>
          </w:p>
        </w:tc>
        <w:tc>
          <w:tcPr>
            <w:tcW w:type="dxa" w:w="1694"/>
            <w:vAlign w:val="center"/>
            <w:tcMar>
              <w:top w:w="70" w:type="dxa"/>
              <w:start w:w="90" w:type="dxa"/>
              <w:bottom w:w="70" w:type="dxa"/>
              <w:end w:w="90" w:type="dxa"/>
            </w:tcMar>
          </w:tcPr>
          <w:p>
            <w:r>
              <w:rPr>
                <w:sz w:val="16"/>
              </w:rPr>
              <w:t>15%</w:t>
            </w:r>
          </w:p>
        </w:tc>
        <w:tc>
          <w:tcPr>
            <w:tcW w:type="dxa" w:w="1694"/>
            <w:vAlign w:val="center"/>
            <w:tcMar>
              <w:top w:w="70" w:type="dxa"/>
              <w:start w:w="90" w:type="dxa"/>
              <w:bottom w:w="70" w:type="dxa"/>
              <w:end w:w="90" w:type="dxa"/>
            </w:tcMar>
          </w:tcPr>
          <w:p>
            <w:r>
              <w:rPr>
                <w:sz w:val="16"/>
              </w:rPr>
              <w:t>High cash distribution; concentrated regulatory risk</w:t>
            </w:r>
          </w:p>
        </w:tc>
      </w:tr>
      <w:tr>
        <w:trPr>
          <w:cantSplit/>
        </w:trPr>
        <w:tc>
          <w:tcPr>
            <w:tcW w:type="dxa" w:w="1694"/>
            <w:shd w:fill="EAF2F8"/>
            <w:vAlign w:val="center"/>
            <w:tcMar>
              <w:top w:w="70" w:type="dxa"/>
              <w:start w:w="90" w:type="dxa"/>
              <w:bottom w:w="70" w:type="dxa"/>
              <w:end w:w="90" w:type="dxa"/>
            </w:tcMar>
          </w:tcPr>
          <w:p>
            <w:r>
              <w:rPr>
                <w:sz w:val="16"/>
              </w:rPr>
              <w:t>EABL</w:t>
            </w:r>
          </w:p>
        </w:tc>
        <w:tc>
          <w:tcPr>
            <w:tcW w:type="dxa" w:w="1694"/>
            <w:shd w:fill="EAF2F8"/>
            <w:vAlign w:val="center"/>
            <w:tcMar>
              <w:top w:w="70" w:type="dxa"/>
              <w:start w:w="90" w:type="dxa"/>
              <w:bottom w:w="70" w:type="dxa"/>
              <w:end w:w="90" w:type="dxa"/>
            </w:tcMar>
          </w:tcPr>
          <w:p>
            <w:r>
              <w:rPr>
                <w:sz w:val="16"/>
              </w:rPr>
              <w:t>285.25</w:t>
            </w:r>
          </w:p>
        </w:tc>
        <w:tc>
          <w:tcPr>
            <w:tcW w:type="dxa" w:w="1694"/>
            <w:shd w:fill="EAF2F8"/>
            <w:vAlign w:val="center"/>
            <w:tcMar>
              <w:top w:w="70" w:type="dxa"/>
              <w:start w:w="90" w:type="dxa"/>
              <w:bottom w:w="70" w:type="dxa"/>
              <w:end w:w="90" w:type="dxa"/>
            </w:tcMar>
          </w:tcPr>
          <w:p>
            <w:r>
              <w:rPr>
                <w:sz w:val="16"/>
              </w:rPr>
              <w:t>12.70</w:t>
            </w:r>
          </w:p>
        </w:tc>
        <w:tc>
          <w:tcPr>
            <w:tcW w:type="dxa" w:w="1694"/>
            <w:shd w:fill="EAF2F8"/>
            <w:vAlign w:val="center"/>
            <w:tcMar>
              <w:top w:w="70" w:type="dxa"/>
              <w:start w:w="90" w:type="dxa"/>
              <w:bottom w:w="70" w:type="dxa"/>
              <w:end w:w="90" w:type="dxa"/>
            </w:tcMar>
          </w:tcPr>
          <w:p>
            <w:r>
              <w:rPr>
                <w:sz w:val="16"/>
              </w:rPr>
              <w:t>4.45%</w:t>
            </w:r>
          </w:p>
        </w:tc>
        <w:tc>
          <w:tcPr>
            <w:tcW w:type="dxa" w:w="1694"/>
            <w:shd w:fill="EAF2F8"/>
            <w:vAlign w:val="center"/>
            <w:tcMar>
              <w:top w:w="70" w:type="dxa"/>
              <w:start w:w="90" w:type="dxa"/>
              <w:bottom w:w="70" w:type="dxa"/>
              <w:end w:w="90" w:type="dxa"/>
            </w:tcMar>
          </w:tcPr>
          <w:p>
            <w:r>
              <w:rPr>
                <w:sz w:val="16"/>
              </w:rPr>
              <w:t>10%</w:t>
            </w:r>
          </w:p>
        </w:tc>
        <w:tc>
          <w:tcPr>
            <w:tcW w:type="dxa" w:w="1694"/>
            <w:shd w:fill="EAF2F8"/>
            <w:vAlign w:val="center"/>
            <w:tcMar>
              <w:top w:w="70" w:type="dxa"/>
              <w:start w:w="90" w:type="dxa"/>
              <w:bottom w:w="70" w:type="dxa"/>
              <w:end w:w="90" w:type="dxa"/>
            </w:tcMar>
          </w:tcPr>
          <w:p>
            <w:r>
              <w:rPr>
                <w:sz w:val="16"/>
              </w:rPr>
              <w:t>Consumer diversification and regional brands</w:t>
            </w:r>
          </w:p>
        </w:tc>
      </w:tr>
      <w:tr>
        <w:trPr>
          <w:cantSplit/>
        </w:trPr>
        <w:tc>
          <w:tcPr>
            <w:tcW w:type="dxa" w:w="1694"/>
            <w:vAlign w:val="center"/>
            <w:tcMar>
              <w:top w:w="70" w:type="dxa"/>
              <w:start w:w="90" w:type="dxa"/>
              <w:bottom w:w="70" w:type="dxa"/>
              <w:end w:w="90" w:type="dxa"/>
            </w:tcMar>
          </w:tcPr>
          <w:p>
            <w:r>
              <w:rPr>
                <w:sz w:val="16"/>
              </w:rPr>
              <w:t>NSE PLC</w:t>
            </w:r>
          </w:p>
        </w:tc>
        <w:tc>
          <w:tcPr>
            <w:tcW w:type="dxa" w:w="1694"/>
            <w:vAlign w:val="center"/>
            <w:tcMar>
              <w:top w:w="70" w:type="dxa"/>
              <w:start w:w="90" w:type="dxa"/>
              <w:bottom w:w="70" w:type="dxa"/>
              <w:end w:w="90" w:type="dxa"/>
            </w:tcMar>
          </w:tcPr>
          <w:p>
            <w:r>
              <w:rPr>
                <w:sz w:val="16"/>
              </w:rPr>
              <w:t>28.20</w:t>
            </w:r>
          </w:p>
        </w:tc>
        <w:tc>
          <w:tcPr>
            <w:tcW w:type="dxa" w:w="1694"/>
            <w:vAlign w:val="center"/>
            <w:tcMar>
              <w:top w:w="70" w:type="dxa"/>
              <w:start w:w="90" w:type="dxa"/>
              <w:bottom w:w="70" w:type="dxa"/>
              <w:end w:w="90" w:type="dxa"/>
            </w:tcMar>
          </w:tcPr>
          <w:p>
            <w:r>
              <w:rPr>
                <w:sz w:val="16"/>
              </w:rPr>
              <w:t>1.00</w:t>
            </w:r>
          </w:p>
        </w:tc>
        <w:tc>
          <w:tcPr>
            <w:tcW w:type="dxa" w:w="1694"/>
            <w:vAlign w:val="center"/>
            <w:tcMar>
              <w:top w:w="70" w:type="dxa"/>
              <w:start w:w="90" w:type="dxa"/>
              <w:bottom w:w="70" w:type="dxa"/>
              <w:end w:w="90" w:type="dxa"/>
            </w:tcMar>
          </w:tcPr>
          <w:p>
            <w:r>
              <w:rPr>
                <w:sz w:val="16"/>
              </w:rPr>
              <w:t>3.55%</w:t>
            </w:r>
          </w:p>
        </w:tc>
        <w:tc>
          <w:tcPr>
            <w:tcW w:type="dxa" w:w="1694"/>
            <w:vAlign w:val="center"/>
            <w:tcMar>
              <w:top w:w="70" w:type="dxa"/>
              <w:start w:w="90" w:type="dxa"/>
              <w:bottom w:w="70" w:type="dxa"/>
              <w:end w:w="90" w:type="dxa"/>
            </w:tcMar>
          </w:tcPr>
          <w:p>
            <w:r>
              <w:rPr>
                <w:sz w:val="16"/>
              </w:rPr>
              <w:t>10%</w:t>
            </w:r>
          </w:p>
        </w:tc>
        <w:tc>
          <w:tcPr>
            <w:tcW w:type="dxa" w:w="1694"/>
            <w:vAlign w:val="center"/>
            <w:tcMar>
              <w:top w:w="70" w:type="dxa"/>
              <w:start w:w="90" w:type="dxa"/>
              <w:bottom w:w="70" w:type="dxa"/>
              <w:end w:w="90" w:type="dxa"/>
            </w:tcMar>
          </w:tcPr>
          <w:p>
            <w:r>
              <w:rPr>
                <w:sz w:val="16"/>
              </w:rPr>
              <w:t>Capital-market infrastructure and trading-volume exposure</w:t>
            </w:r>
          </w:p>
        </w:tc>
      </w:tr>
    </w:tbl>
    <w:p>
      <w:pPr>
        <w:pStyle w:val="Caption"/>
      </w:pPr>
      <w:r>
        <w:rPr>
          <w:i/>
        </w:rPr>
        <w:t>Table 1. Core portfolio reference snapshot. Prices: 9 Sep. 2026 [1]. Dividend bases: [7]–[13]. Yield = recent dividend per share / reference price; it is backward-looking, not a forecast.</w:t>
      </w:r>
    </w:p>
    <w:p>
      <w:pPr>
        <w:pStyle w:val="BodyText"/>
        <w:spacing w:after="120" w:line="259" w:lineRule="auto"/>
        <w:jc w:val="both"/>
      </w:pPr>
      <w:r>
        <w:t>The table shows why the portfolio cannot be optimized by yield alone. BAT and Standard Chartered have the highest headline yields, but a rational allocation limits them because their risk sources are concentrated. Safaricom and EABL produce lower yields but materially diversify the earnings engine. NSE PLC has the lowest normalized recurring yield once its special dividend is removed, yet provides direct exposure to growth in market turnover and financial-market participation.</w:t>
      </w:r>
    </w:p>
    <w:p>
      <w:pPr>
        <w:pStyle w:val="Heading1"/>
        <w:keepNext/>
      </w:pPr>
      <w:r>
        <w:t>6. Target Allocation of the KES 100,000</w:t>
      </w:r>
    </w:p>
    <w:p>
      <w:pPr>
        <w:pStyle w:val="BodyText"/>
        <w:spacing w:after="120" w:line="259" w:lineRule="auto"/>
        <w:jc w:val="both"/>
      </w:pPr>
      <w:r>
        <w:t>The target weights deliberately stop short of equal weighting. Safaricom receives 20% because it is the largest non-bank growth-and-income anchor. Equity, Co-op, Standard Chartered and BAT each receive 15%. EABL and NSE PLC receive 10% each. This creates a portfolio in which no single company exceeds one-fifth of the capital and in which the highest-yielding counter, BAT, is capped rather than allowed to dominate. The structure is intended to balance income generation with the risk that a specific dividend is reduced.</w:t>
      </w:r>
    </w:p>
    <w:p>
      <w:pPr>
        <w:pStyle w:val="BodyText"/>
        <w:spacing w:after="120" w:line="259" w:lineRule="auto"/>
        <w:jc w:val="both"/>
      </w:pPr>
      <w:r>
        <w:t>The main weakness is clear: the three banks represent 45% of target capital. That concentration is acceptable only if it is acknowledged and managed. It means future additions should not automatically be directed to KCB, Stanbic, NCBA, I&amp;M or Absa simply because those banks also offer attractive yields. Part 2 therefore treats most additional banks as replacements or comparative benchmarks rather than automatic additions. New capital beyond the first KES 100,000 should preferably broaden exposure to energy, insurance, industrials and selected agriculture before increasing the bank weight further.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vAlign w:val="center"/>
            <w:tcMar>
              <w:top w:w="70" w:type="dxa"/>
              <w:start w:w="90" w:type="dxa"/>
              <w:bottom w:w="70" w:type="dxa"/>
              <w:end w:w="90" w:type="dxa"/>
            </w:tcMar>
          </w:tcPr>
          <w:p>
            <w:r>
              <w:rPr>
                <w:b/>
                <w:color w:val="FFFFFF"/>
                <w:sz w:val="16"/>
              </w:rPr>
              <w:t>Counter</w:t>
            </w:r>
          </w:p>
        </w:tc>
        <w:tc>
          <w:tcPr>
            <w:tcW w:type="dxa" w:w="2541"/>
            <w:shd w:fill="1F4E78"/>
            <w:vAlign w:val="center"/>
            <w:tcMar>
              <w:top w:w="70" w:type="dxa"/>
              <w:start w:w="90" w:type="dxa"/>
              <w:bottom w:w="70" w:type="dxa"/>
              <w:end w:w="90" w:type="dxa"/>
            </w:tcMar>
          </w:tcPr>
          <w:p>
            <w:r>
              <w:rPr>
                <w:b/>
                <w:color w:val="FFFFFF"/>
                <w:sz w:val="16"/>
              </w:rPr>
              <w:t>Target weight</w:t>
            </w:r>
          </w:p>
        </w:tc>
        <w:tc>
          <w:tcPr>
            <w:tcW w:type="dxa" w:w="2541"/>
            <w:shd w:fill="1F4E78"/>
            <w:vAlign w:val="center"/>
            <w:tcMar>
              <w:top w:w="70" w:type="dxa"/>
              <w:start w:w="90" w:type="dxa"/>
              <w:bottom w:w="70" w:type="dxa"/>
              <w:end w:w="90" w:type="dxa"/>
            </w:tcMar>
          </w:tcPr>
          <w:p>
            <w:r>
              <w:rPr>
                <w:b/>
                <w:color w:val="FFFFFF"/>
                <w:sz w:val="16"/>
              </w:rPr>
              <w:t>Target security capital KES</w:t>
            </w:r>
          </w:p>
        </w:tc>
        <w:tc>
          <w:tcPr>
            <w:tcW w:type="dxa" w:w="2541"/>
            <w:shd w:fill="1F4E78"/>
            <w:vAlign w:val="center"/>
            <w:tcMar>
              <w:top w:w="70" w:type="dxa"/>
              <w:start w:w="90" w:type="dxa"/>
              <w:bottom w:w="70" w:type="dxa"/>
              <w:end w:w="90" w:type="dxa"/>
            </w:tcMar>
          </w:tcPr>
          <w:p>
            <w:r>
              <w:rPr>
                <w:b/>
                <w:color w:val="FFFFFF"/>
                <w:sz w:val="16"/>
              </w:rPr>
              <w:t>Strategic reason</w:t>
            </w:r>
          </w:p>
        </w:tc>
      </w:tr>
      <w:tr>
        <w:trPr>
          <w:cantSplit/>
        </w:trPr>
        <w:tc>
          <w:tcPr>
            <w:tcW w:type="dxa" w:w="2541"/>
            <w:vAlign w:val="center"/>
            <w:tcMar>
              <w:top w:w="70" w:type="dxa"/>
              <w:start w:w="90" w:type="dxa"/>
              <w:bottom w:w="70" w:type="dxa"/>
              <w:end w:w="90" w:type="dxa"/>
            </w:tcMar>
          </w:tcPr>
          <w:p>
            <w:r>
              <w:rPr>
                <w:sz w:val="16"/>
              </w:rPr>
              <w:t>Safaricom (SCOM)</w:t>
            </w:r>
          </w:p>
        </w:tc>
        <w:tc>
          <w:tcPr>
            <w:tcW w:type="dxa" w:w="2541"/>
            <w:vAlign w:val="center"/>
            <w:tcMar>
              <w:top w:w="70" w:type="dxa"/>
              <w:start w:w="90" w:type="dxa"/>
              <w:bottom w:w="70" w:type="dxa"/>
              <w:end w:w="90" w:type="dxa"/>
            </w:tcMar>
          </w:tcPr>
          <w:p>
            <w:r>
              <w:rPr>
                <w:sz w:val="16"/>
              </w:rPr>
              <w:t>20%</w:t>
            </w:r>
          </w:p>
        </w:tc>
        <w:tc>
          <w:tcPr>
            <w:tcW w:type="dxa" w:w="2541"/>
            <w:vAlign w:val="center"/>
            <w:tcMar>
              <w:top w:w="70" w:type="dxa"/>
              <w:start w:w="90" w:type="dxa"/>
              <w:bottom w:w="70" w:type="dxa"/>
              <w:end w:w="90" w:type="dxa"/>
            </w:tcMar>
          </w:tcPr>
          <w:p>
            <w:r>
              <w:rPr>
                <w:sz w:val="16"/>
              </w:rPr>
              <w:t>19,589</w:t>
            </w:r>
          </w:p>
        </w:tc>
        <w:tc>
          <w:tcPr>
            <w:tcW w:type="dxa" w:w="2541"/>
            <w:vAlign w:val="center"/>
            <w:tcMar>
              <w:top w:w="70" w:type="dxa"/>
              <w:start w:w="90" w:type="dxa"/>
              <w:bottom w:w="70" w:type="dxa"/>
              <w:end w:w="90" w:type="dxa"/>
            </w:tcMar>
          </w:tcPr>
          <w:p>
            <w:r>
              <w:rPr>
                <w:sz w:val="16"/>
              </w:rPr>
              <w:t>Core growth + income; telecom/data/mobile money</w:t>
            </w:r>
          </w:p>
        </w:tc>
      </w:tr>
      <w:tr>
        <w:trPr>
          <w:cantSplit/>
        </w:trPr>
        <w:tc>
          <w:tcPr>
            <w:tcW w:type="dxa" w:w="2541"/>
            <w:shd w:fill="EAF2F8"/>
            <w:vAlign w:val="center"/>
            <w:tcMar>
              <w:top w:w="70" w:type="dxa"/>
              <w:start w:w="90" w:type="dxa"/>
              <w:bottom w:w="70" w:type="dxa"/>
              <w:end w:w="90" w:type="dxa"/>
            </w:tcMar>
          </w:tcPr>
          <w:p>
            <w:r>
              <w:rPr>
                <w:sz w:val="16"/>
              </w:rPr>
              <w:t>Equity Group (EQTY)</w:t>
            </w:r>
          </w:p>
        </w:tc>
        <w:tc>
          <w:tcPr>
            <w:tcW w:type="dxa" w:w="2541"/>
            <w:shd w:fill="EAF2F8"/>
            <w:vAlign w:val="center"/>
            <w:tcMar>
              <w:top w:w="70" w:type="dxa"/>
              <w:start w:w="90" w:type="dxa"/>
              <w:bottom w:w="70" w:type="dxa"/>
              <w:end w:w="90" w:type="dxa"/>
            </w:tcMar>
          </w:tcPr>
          <w:p>
            <w:r>
              <w:rPr>
                <w:sz w:val="16"/>
              </w:rPr>
              <w:t>15%</w:t>
            </w:r>
          </w:p>
        </w:tc>
        <w:tc>
          <w:tcPr>
            <w:tcW w:type="dxa" w:w="2541"/>
            <w:shd w:fill="EAF2F8"/>
            <w:vAlign w:val="center"/>
            <w:tcMar>
              <w:top w:w="70" w:type="dxa"/>
              <w:start w:w="90" w:type="dxa"/>
              <w:bottom w:w="70" w:type="dxa"/>
              <w:end w:w="90" w:type="dxa"/>
            </w:tcMar>
          </w:tcPr>
          <w:p>
            <w:r>
              <w:rPr>
                <w:sz w:val="16"/>
              </w:rPr>
              <w:t>14,691</w:t>
            </w:r>
          </w:p>
        </w:tc>
        <w:tc>
          <w:tcPr>
            <w:tcW w:type="dxa" w:w="2541"/>
            <w:shd w:fill="EAF2F8"/>
            <w:vAlign w:val="center"/>
            <w:tcMar>
              <w:top w:w="70" w:type="dxa"/>
              <w:start w:w="90" w:type="dxa"/>
              <w:bottom w:w="70" w:type="dxa"/>
              <w:end w:w="90" w:type="dxa"/>
            </w:tcMar>
          </w:tcPr>
          <w:p>
            <w:r>
              <w:rPr>
                <w:sz w:val="16"/>
              </w:rPr>
              <w:t>Regional banking growth and rising payout</w:t>
            </w:r>
          </w:p>
        </w:tc>
      </w:tr>
      <w:tr>
        <w:trPr>
          <w:cantSplit/>
        </w:trPr>
        <w:tc>
          <w:tcPr>
            <w:tcW w:type="dxa" w:w="2541"/>
            <w:vAlign w:val="center"/>
            <w:tcMar>
              <w:top w:w="70" w:type="dxa"/>
              <w:start w:w="90" w:type="dxa"/>
              <w:bottom w:w="70" w:type="dxa"/>
              <w:end w:w="90" w:type="dxa"/>
            </w:tcMar>
          </w:tcPr>
          <w:p>
            <w:r>
              <w:rPr>
                <w:sz w:val="16"/>
              </w:rPr>
              <w:t>Co-operative Bank (COOP)</w:t>
            </w:r>
          </w:p>
        </w:tc>
        <w:tc>
          <w:tcPr>
            <w:tcW w:type="dxa" w:w="2541"/>
            <w:vAlign w:val="center"/>
            <w:tcMar>
              <w:top w:w="70" w:type="dxa"/>
              <w:start w:w="90" w:type="dxa"/>
              <w:bottom w:w="70" w:type="dxa"/>
              <w:end w:w="90" w:type="dxa"/>
            </w:tcMar>
          </w:tcPr>
          <w:p>
            <w:r>
              <w:rPr>
                <w:sz w:val="16"/>
              </w:rPr>
              <w:t>15%</w:t>
            </w:r>
          </w:p>
        </w:tc>
        <w:tc>
          <w:tcPr>
            <w:tcW w:type="dxa" w:w="2541"/>
            <w:vAlign w:val="center"/>
            <w:tcMar>
              <w:top w:w="70" w:type="dxa"/>
              <w:start w:w="90" w:type="dxa"/>
              <w:bottom w:w="70" w:type="dxa"/>
              <w:end w:w="90" w:type="dxa"/>
            </w:tcMar>
          </w:tcPr>
          <w:p>
            <w:r>
              <w:rPr>
                <w:sz w:val="16"/>
              </w:rPr>
              <w:t>14,691</w:t>
            </w:r>
          </w:p>
        </w:tc>
        <w:tc>
          <w:tcPr>
            <w:tcW w:type="dxa" w:w="2541"/>
            <w:vAlign w:val="center"/>
            <w:tcMar>
              <w:top w:w="70" w:type="dxa"/>
              <w:start w:w="90" w:type="dxa"/>
              <w:bottom w:w="70" w:type="dxa"/>
              <w:end w:w="90" w:type="dxa"/>
            </w:tcMar>
          </w:tcPr>
          <w:p>
            <w:r>
              <w:rPr>
                <w:sz w:val="16"/>
              </w:rPr>
              <w:t>Income-oriented banking; broad domestic franchise</w:t>
            </w:r>
          </w:p>
        </w:tc>
      </w:tr>
      <w:tr>
        <w:trPr>
          <w:cantSplit/>
        </w:trPr>
        <w:tc>
          <w:tcPr>
            <w:tcW w:type="dxa" w:w="2541"/>
            <w:shd w:fill="EAF2F8"/>
            <w:vAlign w:val="center"/>
            <w:tcMar>
              <w:top w:w="70" w:type="dxa"/>
              <w:start w:w="90" w:type="dxa"/>
              <w:bottom w:w="70" w:type="dxa"/>
              <w:end w:w="90" w:type="dxa"/>
            </w:tcMar>
          </w:tcPr>
          <w:p>
            <w:r>
              <w:rPr>
                <w:sz w:val="16"/>
              </w:rPr>
              <w:t>Standard Chartered Kenya (SCBK)</w:t>
            </w:r>
          </w:p>
        </w:tc>
        <w:tc>
          <w:tcPr>
            <w:tcW w:type="dxa" w:w="2541"/>
            <w:shd w:fill="EAF2F8"/>
            <w:vAlign w:val="center"/>
            <w:tcMar>
              <w:top w:w="70" w:type="dxa"/>
              <w:start w:w="90" w:type="dxa"/>
              <w:bottom w:w="70" w:type="dxa"/>
              <w:end w:w="90" w:type="dxa"/>
            </w:tcMar>
          </w:tcPr>
          <w:p>
            <w:r>
              <w:rPr>
                <w:sz w:val="16"/>
              </w:rPr>
              <w:t>15%</w:t>
            </w:r>
          </w:p>
        </w:tc>
        <w:tc>
          <w:tcPr>
            <w:tcW w:type="dxa" w:w="2541"/>
            <w:shd w:fill="EAF2F8"/>
            <w:vAlign w:val="center"/>
            <w:tcMar>
              <w:top w:w="70" w:type="dxa"/>
              <w:start w:w="90" w:type="dxa"/>
              <w:bottom w:w="70" w:type="dxa"/>
              <w:end w:w="90" w:type="dxa"/>
            </w:tcMar>
          </w:tcPr>
          <w:p>
            <w:r>
              <w:rPr>
                <w:sz w:val="16"/>
              </w:rPr>
              <w:t>14,691</w:t>
            </w:r>
          </w:p>
        </w:tc>
        <w:tc>
          <w:tcPr>
            <w:tcW w:type="dxa" w:w="2541"/>
            <w:shd w:fill="EAF2F8"/>
            <w:vAlign w:val="center"/>
            <w:tcMar>
              <w:top w:w="70" w:type="dxa"/>
              <w:start w:w="90" w:type="dxa"/>
              <w:bottom w:w="70" w:type="dxa"/>
              <w:end w:w="90" w:type="dxa"/>
            </w:tcMar>
          </w:tcPr>
          <w:p>
            <w:r>
              <w:rPr>
                <w:sz w:val="16"/>
              </w:rPr>
              <w:t>High-income banking and capital discipline</w:t>
            </w:r>
          </w:p>
        </w:tc>
      </w:tr>
      <w:tr>
        <w:trPr>
          <w:cantSplit/>
        </w:trPr>
        <w:tc>
          <w:tcPr>
            <w:tcW w:type="dxa" w:w="2541"/>
            <w:vAlign w:val="center"/>
            <w:tcMar>
              <w:top w:w="70" w:type="dxa"/>
              <w:start w:w="90" w:type="dxa"/>
              <w:bottom w:w="70" w:type="dxa"/>
              <w:end w:w="90" w:type="dxa"/>
            </w:tcMar>
          </w:tcPr>
          <w:p>
            <w:r>
              <w:rPr>
                <w:sz w:val="16"/>
              </w:rPr>
              <w:t>BAT Kenya (BAT)</w:t>
            </w:r>
          </w:p>
        </w:tc>
        <w:tc>
          <w:tcPr>
            <w:tcW w:type="dxa" w:w="2541"/>
            <w:vAlign w:val="center"/>
            <w:tcMar>
              <w:top w:w="70" w:type="dxa"/>
              <w:start w:w="90" w:type="dxa"/>
              <w:bottom w:w="70" w:type="dxa"/>
              <w:end w:w="90" w:type="dxa"/>
            </w:tcMar>
          </w:tcPr>
          <w:p>
            <w:r>
              <w:rPr>
                <w:sz w:val="16"/>
              </w:rPr>
              <w:t>15%</w:t>
            </w:r>
          </w:p>
        </w:tc>
        <w:tc>
          <w:tcPr>
            <w:tcW w:type="dxa" w:w="2541"/>
            <w:vAlign w:val="center"/>
            <w:tcMar>
              <w:top w:w="70" w:type="dxa"/>
              <w:start w:w="90" w:type="dxa"/>
              <w:bottom w:w="70" w:type="dxa"/>
              <w:end w:w="90" w:type="dxa"/>
            </w:tcMar>
          </w:tcPr>
          <w:p>
            <w:r>
              <w:rPr>
                <w:sz w:val="16"/>
              </w:rPr>
              <w:t>14,691</w:t>
            </w:r>
          </w:p>
        </w:tc>
        <w:tc>
          <w:tcPr>
            <w:tcW w:type="dxa" w:w="2541"/>
            <w:vAlign w:val="center"/>
            <w:tcMar>
              <w:top w:w="70" w:type="dxa"/>
              <w:start w:w="90" w:type="dxa"/>
              <w:bottom w:w="70" w:type="dxa"/>
              <w:end w:w="90" w:type="dxa"/>
            </w:tcMar>
          </w:tcPr>
          <w:p>
            <w:r>
              <w:rPr>
                <w:sz w:val="16"/>
              </w:rPr>
              <w:t>High cash distribution; concentrated regulatory risk</w:t>
            </w:r>
          </w:p>
        </w:tc>
      </w:tr>
      <w:tr>
        <w:trPr>
          <w:cantSplit/>
        </w:trPr>
        <w:tc>
          <w:tcPr>
            <w:tcW w:type="dxa" w:w="2541"/>
            <w:shd w:fill="EAF2F8"/>
            <w:vAlign w:val="center"/>
            <w:tcMar>
              <w:top w:w="70" w:type="dxa"/>
              <w:start w:w="90" w:type="dxa"/>
              <w:bottom w:w="70" w:type="dxa"/>
              <w:end w:w="90" w:type="dxa"/>
            </w:tcMar>
          </w:tcPr>
          <w:p>
            <w:r>
              <w:rPr>
                <w:sz w:val="16"/>
              </w:rPr>
              <w:t>EABL</w:t>
            </w:r>
          </w:p>
        </w:tc>
        <w:tc>
          <w:tcPr>
            <w:tcW w:type="dxa" w:w="2541"/>
            <w:shd w:fill="EAF2F8"/>
            <w:vAlign w:val="center"/>
            <w:tcMar>
              <w:top w:w="70" w:type="dxa"/>
              <w:start w:w="90" w:type="dxa"/>
              <w:bottom w:w="70" w:type="dxa"/>
              <w:end w:w="90" w:type="dxa"/>
            </w:tcMar>
          </w:tcPr>
          <w:p>
            <w:r>
              <w:rPr>
                <w:sz w:val="16"/>
              </w:rPr>
              <w:t>10%</w:t>
            </w:r>
          </w:p>
        </w:tc>
        <w:tc>
          <w:tcPr>
            <w:tcW w:type="dxa" w:w="2541"/>
            <w:shd w:fill="EAF2F8"/>
            <w:vAlign w:val="center"/>
            <w:tcMar>
              <w:top w:w="70" w:type="dxa"/>
              <w:start w:w="90" w:type="dxa"/>
              <w:bottom w:w="70" w:type="dxa"/>
              <w:end w:w="90" w:type="dxa"/>
            </w:tcMar>
          </w:tcPr>
          <w:p>
            <w:r>
              <w:rPr>
                <w:sz w:val="16"/>
              </w:rPr>
              <w:t>9,794</w:t>
            </w:r>
          </w:p>
        </w:tc>
        <w:tc>
          <w:tcPr>
            <w:tcW w:type="dxa" w:w="2541"/>
            <w:shd w:fill="EAF2F8"/>
            <w:vAlign w:val="center"/>
            <w:tcMar>
              <w:top w:w="70" w:type="dxa"/>
              <w:start w:w="90" w:type="dxa"/>
              <w:bottom w:w="70" w:type="dxa"/>
              <w:end w:w="90" w:type="dxa"/>
            </w:tcMar>
          </w:tcPr>
          <w:p>
            <w:r>
              <w:rPr>
                <w:sz w:val="16"/>
              </w:rPr>
              <w:t>Consumer diversification and regional brands</w:t>
            </w:r>
          </w:p>
        </w:tc>
      </w:tr>
      <w:tr>
        <w:trPr>
          <w:cantSplit/>
        </w:trPr>
        <w:tc>
          <w:tcPr>
            <w:tcW w:type="dxa" w:w="2541"/>
            <w:vAlign w:val="center"/>
            <w:tcMar>
              <w:top w:w="70" w:type="dxa"/>
              <w:start w:w="90" w:type="dxa"/>
              <w:bottom w:w="70" w:type="dxa"/>
              <w:end w:w="90" w:type="dxa"/>
            </w:tcMar>
          </w:tcPr>
          <w:p>
            <w:r>
              <w:rPr>
                <w:sz w:val="16"/>
              </w:rPr>
              <w:t>NSE PLC</w:t>
            </w:r>
          </w:p>
        </w:tc>
        <w:tc>
          <w:tcPr>
            <w:tcW w:type="dxa" w:w="2541"/>
            <w:vAlign w:val="center"/>
            <w:tcMar>
              <w:top w:w="70" w:type="dxa"/>
              <w:start w:w="90" w:type="dxa"/>
              <w:bottom w:w="70" w:type="dxa"/>
              <w:end w:w="90" w:type="dxa"/>
            </w:tcMar>
          </w:tcPr>
          <w:p>
            <w:r>
              <w:rPr>
                <w:sz w:val="16"/>
              </w:rPr>
              <w:t>10%</w:t>
            </w:r>
          </w:p>
        </w:tc>
        <w:tc>
          <w:tcPr>
            <w:tcW w:type="dxa" w:w="2541"/>
            <w:vAlign w:val="center"/>
            <w:tcMar>
              <w:top w:w="70" w:type="dxa"/>
              <w:start w:w="90" w:type="dxa"/>
              <w:bottom w:w="70" w:type="dxa"/>
              <w:end w:w="90" w:type="dxa"/>
            </w:tcMar>
          </w:tcPr>
          <w:p>
            <w:r>
              <w:rPr>
                <w:sz w:val="16"/>
              </w:rPr>
              <w:t>9,794</w:t>
            </w:r>
          </w:p>
        </w:tc>
        <w:tc>
          <w:tcPr>
            <w:tcW w:type="dxa" w:w="2541"/>
            <w:vAlign w:val="center"/>
            <w:tcMar>
              <w:top w:w="70" w:type="dxa"/>
              <w:start w:w="90" w:type="dxa"/>
              <w:bottom w:w="70" w:type="dxa"/>
              <w:end w:w="90" w:type="dxa"/>
            </w:tcMar>
          </w:tcPr>
          <w:p>
            <w:r>
              <w:rPr>
                <w:sz w:val="16"/>
              </w:rPr>
              <w:t>Capital-market infrastructure and trading-volume exposure</w:t>
            </w:r>
          </w:p>
        </w:tc>
      </w:tr>
      <w:tr>
        <w:trPr>
          <w:cantSplit/>
        </w:trPr>
        <w:tc>
          <w:tcPr>
            <w:tcW w:type="dxa" w:w="2541"/>
            <w:shd w:fill="EAF2F8"/>
            <w:vAlign w:val="center"/>
            <w:tcMar>
              <w:top w:w="70" w:type="dxa"/>
              <w:start w:w="90" w:type="dxa"/>
              <w:bottom w:w="70" w:type="dxa"/>
              <w:end w:w="90" w:type="dxa"/>
            </w:tcMar>
          </w:tcPr>
          <w:p>
            <w:r>
              <w:rPr>
                <w:sz w:val="16"/>
              </w:rPr>
              <w:t>Total</w:t>
            </w:r>
          </w:p>
        </w:tc>
        <w:tc>
          <w:tcPr>
            <w:tcW w:type="dxa" w:w="2541"/>
            <w:shd w:fill="EAF2F8"/>
            <w:vAlign w:val="center"/>
            <w:tcMar>
              <w:top w:w="70" w:type="dxa"/>
              <w:start w:w="90" w:type="dxa"/>
              <w:bottom w:w="70" w:type="dxa"/>
              <w:end w:w="90" w:type="dxa"/>
            </w:tcMar>
          </w:tcPr>
          <w:p>
            <w:r>
              <w:rPr>
                <w:sz w:val="16"/>
              </w:rPr>
              <w:t>100%</w:t>
            </w:r>
          </w:p>
        </w:tc>
        <w:tc>
          <w:tcPr>
            <w:tcW w:type="dxa" w:w="2541"/>
            <w:shd w:fill="EAF2F8"/>
            <w:vAlign w:val="center"/>
            <w:tcMar>
              <w:top w:w="70" w:type="dxa"/>
              <w:start w:w="90" w:type="dxa"/>
              <w:bottom w:w="70" w:type="dxa"/>
              <w:end w:w="90" w:type="dxa"/>
            </w:tcMar>
          </w:tcPr>
          <w:p>
            <w:r>
              <w:rPr>
                <w:sz w:val="16"/>
              </w:rPr>
              <w:t>97,943</w:t>
            </w:r>
          </w:p>
        </w:tc>
        <w:tc>
          <w:tcPr>
            <w:tcW w:type="dxa" w:w="2541"/>
            <w:shd w:fill="EAF2F8"/>
            <w:vAlign w:val="center"/>
            <w:tcMar>
              <w:top w:w="70" w:type="dxa"/>
              <w:start w:w="90" w:type="dxa"/>
              <w:bottom w:w="70" w:type="dxa"/>
              <w:end w:w="90" w:type="dxa"/>
            </w:tcMar>
          </w:tcPr>
          <w:p>
            <w:r>
              <w:rPr>
                <w:sz w:val="16"/>
              </w:rPr>
              <w:t>Before actual whole-share rounding</w:t>
            </w:r>
          </w:p>
        </w:tc>
      </w:tr>
    </w:tbl>
    <w:p>
      <w:pPr>
        <w:pStyle w:val="Caption"/>
      </w:pPr>
      <w:r>
        <w:rPr>
          <w:i/>
        </w:rPr>
        <w:t>Table 2. Strategic allocation after reserving a conservative maximum-cost provision. Capital figures are approximate and will differ after whole-share rounding.</w:t>
      </w:r>
    </w:p>
    <w:p>
      <w:pPr>
        <w:pStyle w:val="Heading1"/>
        <w:keepNext/>
      </w:pPr>
      <w:r>
        <w:t>7. Transaction-Cost Budget and Investable Capital</w:t>
      </w:r>
    </w:p>
    <w:p>
      <w:pPr>
        <w:pStyle w:val="BodyText"/>
        <w:spacing w:after="120" w:line="259" w:lineRule="auto"/>
        <w:jc w:val="both"/>
      </w:pPr>
      <w:r>
        <w:t>If the investor has exactly KES 100,000 available, it is incorrect to allocate KES 100,000 to shares and then ignore the cash required to settle transaction charges. Using the regulatory maximum of 2.10% for secondary equity transactions up to KES 100,000 [2], the conservative investable-security value is obtained by solving X × 1.021 = 100,000. The result is approximately KES 97,943.19 available for the securities themselves, leaving about KES 2,056.81 as a maximum-cost provision. Spread equally across three months, the model has approximately KES 32,647.73 of share-purchase capacity per month and KES 685.60 of fee capacity, producing the desired KES 33,333.33 monthly cash commitment.</w:t>
      </w:r>
    </w:p>
    <w:p>
      <w:pPr>
        <w:pStyle w:val="BodyText"/>
        <w:spacing w:after="120" w:line="259" w:lineRule="auto"/>
        <w:jc w:val="both"/>
      </w:pPr>
      <w:r>
        <w:t>This is a budgeting ceiling, not a prediction of the precise bill from a particular broker. The investor should use the actual contract-note charges and roll unused cash forward. An important discipline is to avoid forcing residual cash into a security just to achieve a cosmetically exact 100% investment rate. Whole-share rounding will always create small residuals. Those residuals can be carried to the next month and used where they best restore the target weights.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90" w:type="dxa"/>
              <w:bottom w:w="70" w:type="dxa"/>
              <w:end w:w="90" w:type="dxa"/>
            </w:tcMar>
          </w:tcPr>
          <w:p>
            <w:r>
              <w:rPr>
                <w:b/>
                <w:color w:val="FFFFFF"/>
                <w:sz w:val="17"/>
              </w:rPr>
              <w:t>Budget component</w:t>
            </w:r>
          </w:p>
        </w:tc>
        <w:tc>
          <w:tcPr>
            <w:tcW w:type="dxa" w:w="3389"/>
            <w:shd w:fill="1F4E78"/>
            <w:vAlign w:val="center"/>
            <w:tcMar>
              <w:top w:w="70" w:type="dxa"/>
              <w:start w:w="90" w:type="dxa"/>
              <w:bottom w:w="70" w:type="dxa"/>
              <w:end w:w="90" w:type="dxa"/>
            </w:tcMar>
          </w:tcPr>
          <w:p>
            <w:r>
              <w:rPr>
                <w:b/>
                <w:color w:val="FFFFFF"/>
                <w:sz w:val="17"/>
              </w:rPr>
              <w:t>3-month total KES</w:t>
            </w:r>
          </w:p>
        </w:tc>
        <w:tc>
          <w:tcPr>
            <w:tcW w:type="dxa" w:w="3389"/>
            <w:shd w:fill="1F4E78"/>
            <w:vAlign w:val="center"/>
            <w:tcMar>
              <w:top w:w="70" w:type="dxa"/>
              <w:start w:w="90" w:type="dxa"/>
              <w:bottom w:w="70" w:type="dxa"/>
              <w:end w:w="90" w:type="dxa"/>
            </w:tcMar>
          </w:tcPr>
          <w:p>
            <w:r>
              <w:rPr>
                <w:b/>
                <w:color w:val="FFFFFF"/>
                <w:sz w:val="17"/>
              </w:rPr>
              <w:t>Approx. per month KES</w:t>
            </w:r>
          </w:p>
        </w:tc>
      </w:tr>
      <w:tr>
        <w:trPr>
          <w:cantSplit/>
        </w:trPr>
        <w:tc>
          <w:tcPr>
            <w:tcW w:type="dxa" w:w="3389"/>
            <w:vAlign w:val="center"/>
            <w:tcMar>
              <w:top w:w="70" w:type="dxa"/>
              <w:start w:w="90" w:type="dxa"/>
              <w:bottom w:w="70" w:type="dxa"/>
              <w:end w:w="90" w:type="dxa"/>
            </w:tcMar>
          </w:tcPr>
          <w:p>
            <w:r>
              <w:rPr>
                <w:sz w:val="17"/>
              </w:rPr>
              <w:t>Total available cash</w:t>
            </w:r>
          </w:p>
        </w:tc>
        <w:tc>
          <w:tcPr>
            <w:tcW w:type="dxa" w:w="3389"/>
            <w:vAlign w:val="center"/>
            <w:tcMar>
              <w:top w:w="70" w:type="dxa"/>
              <w:start w:w="90" w:type="dxa"/>
              <w:bottom w:w="70" w:type="dxa"/>
              <w:end w:w="90" w:type="dxa"/>
            </w:tcMar>
          </w:tcPr>
          <w:p>
            <w:r>
              <w:rPr>
                <w:sz w:val="17"/>
              </w:rPr>
              <w:t>100,000.00</w:t>
            </w:r>
          </w:p>
        </w:tc>
        <w:tc>
          <w:tcPr>
            <w:tcW w:type="dxa" w:w="3389"/>
            <w:vAlign w:val="center"/>
            <w:tcMar>
              <w:top w:w="70" w:type="dxa"/>
              <w:start w:w="90" w:type="dxa"/>
              <w:bottom w:w="70" w:type="dxa"/>
              <w:end w:w="90" w:type="dxa"/>
            </w:tcMar>
          </w:tcPr>
          <w:p>
            <w:r>
              <w:rPr>
                <w:sz w:val="17"/>
              </w:rPr>
              <w:t>33,333.33</w:t>
            </w:r>
          </w:p>
        </w:tc>
      </w:tr>
      <w:tr>
        <w:trPr>
          <w:cantSplit/>
        </w:trPr>
        <w:tc>
          <w:tcPr>
            <w:tcW w:type="dxa" w:w="3389"/>
            <w:shd w:fill="EAF2F8"/>
            <w:vAlign w:val="center"/>
            <w:tcMar>
              <w:top w:w="70" w:type="dxa"/>
              <w:start w:w="90" w:type="dxa"/>
              <w:bottom w:w="70" w:type="dxa"/>
              <w:end w:w="90" w:type="dxa"/>
            </w:tcMar>
          </w:tcPr>
          <w:p>
            <w:r>
              <w:rPr>
                <w:sz w:val="17"/>
              </w:rPr>
              <w:t>Target security purchases</w:t>
            </w:r>
          </w:p>
        </w:tc>
        <w:tc>
          <w:tcPr>
            <w:tcW w:type="dxa" w:w="3389"/>
            <w:shd w:fill="EAF2F8"/>
            <w:vAlign w:val="center"/>
            <w:tcMar>
              <w:top w:w="70" w:type="dxa"/>
              <w:start w:w="90" w:type="dxa"/>
              <w:bottom w:w="70" w:type="dxa"/>
              <w:end w:w="90" w:type="dxa"/>
            </w:tcMar>
          </w:tcPr>
          <w:p>
            <w:r>
              <w:rPr>
                <w:sz w:val="17"/>
              </w:rPr>
              <w:t>97,943.19</w:t>
            </w:r>
          </w:p>
        </w:tc>
        <w:tc>
          <w:tcPr>
            <w:tcW w:type="dxa" w:w="3389"/>
            <w:shd w:fill="EAF2F8"/>
            <w:vAlign w:val="center"/>
            <w:tcMar>
              <w:top w:w="70" w:type="dxa"/>
              <w:start w:w="90" w:type="dxa"/>
              <w:bottom w:w="70" w:type="dxa"/>
              <w:end w:w="90" w:type="dxa"/>
            </w:tcMar>
          </w:tcPr>
          <w:p>
            <w:r>
              <w:rPr>
                <w:sz w:val="17"/>
              </w:rPr>
              <w:t>32,647.73</w:t>
            </w:r>
          </w:p>
        </w:tc>
      </w:tr>
      <w:tr>
        <w:trPr>
          <w:cantSplit/>
        </w:trPr>
        <w:tc>
          <w:tcPr>
            <w:tcW w:type="dxa" w:w="3389"/>
            <w:vAlign w:val="center"/>
            <w:tcMar>
              <w:top w:w="70" w:type="dxa"/>
              <w:start w:w="90" w:type="dxa"/>
              <w:bottom w:w="70" w:type="dxa"/>
              <w:end w:w="90" w:type="dxa"/>
            </w:tcMar>
          </w:tcPr>
          <w:p>
            <w:r>
              <w:rPr>
                <w:sz w:val="17"/>
              </w:rPr>
              <w:t>Maximum fee provision</w:t>
            </w:r>
          </w:p>
        </w:tc>
        <w:tc>
          <w:tcPr>
            <w:tcW w:type="dxa" w:w="3389"/>
            <w:vAlign w:val="center"/>
            <w:tcMar>
              <w:top w:w="70" w:type="dxa"/>
              <w:start w:w="90" w:type="dxa"/>
              <w:bottom w:w="70" w:type="dxa"/>
              <w:end w:w="90" w:type="dxa"/>
            </w:tcMar>
          </w:tcPr>
          <w:p>
            <w:r>
              <w:rPr>
                <w:sz w:val="17"/>
              </w:rPr>
              <w:t>2,056.81</w:t>
            </w:r>
          </w:p>
        </w:tc>
        <w:tc>
          <w:tcPr>
            <w:tcW w:type="dxa" w:w="3389"/>
            <w:vAlign w:val="center"/>
            <w:tcMar>
              <w:top w:w="70" w:type="dxa"/>
              <w:start w:w="90" w:type="dxa"/>
              <w:bottom w:w="70" w:type="dxa"/>
              <w:end w:w="90" w:type="dxa"/>
            </w:tcMar>
          </w:tcPr>
          <w:p>
            <w:r>
              <w:rPr>
                <w:sz w:val="17"/>
              </w:rPr>
              <w:t>685.60</w:t>
            </w:r>
          </w:p>
        </w:tc>
      </w:tr>
      <w:tr>
        <w:trPr>
          <w:cantSplit/>
        </w:trPr>
        <w:tc>
          <w:tcPr>
            <w:tcW w:type="dxa" w:w="3389"/>
            <w:shd w:fill="EAF2F8"/>
            <w:vAlign w:val="center"/>
            <w:tcMar>
              <w:top w:w="70" w:type="dxa"/>
              <w:start w:w="90" w:type="dxa"/>
              <w:bottom w:w="70" w:type="dxa"/>
              <w:end w:w="90" w:type="dxa"/>
            </w:tcMar>
          </w:tcPr>
          <w:p>
            <w:r>
              <w:rPr>
                <w:sz w:val="17"/>
              </w:rPr>
              <w:t>Total</w:t>
            </w:r>
          </w:p>
        </w:tc>
        <w:tc>
          <w:tcPr>
            <w:tcW w:type="dxa" w:w="3389"/>
            <w:shd w:fill="EAF2F8"/>
            <w:vAlign w:val="center"/>
            <w:tcMar>
              <w:top w:w="70" w:type="dxa"/>
              <w:start w:w="90" w:type="dxa"/>
              <w:bottom w:w="70" w:type="dxa"/>
              <w:end w:w="90" w:type="dxa"/>
            </w:tcMar>
          </w:tcPr>
          <w:p>
            <w:r>
              <w:rPr>
                <w:sz w:val="17"/>
              </w:rPr>
              <w:t>100,000.00</w:t>
            </w:r>
          </w:p>
        </w:tc>
        <w:tc>
          <w:tcPr>
            <w:tcW w:type="dxa" w:w="3389"/>
            <w:shd w:fill="EAF2F8"/>
            <w:vAlign w:val="center"/>
            <w:tcMar>
              <w:top w:w="70" w:type="dxa"/>
              <w:start w:w="90" w:type="dxa"/>
              <w:bottom w:w="70" w:type="dxa"/>
              <w:end w:w="90" w:type="dxa"/>
            </w:tcMar>
          </w:tcPr>
          <w:p>
            <w:r>
              <w:rPr>
                <w:sz w:val="17"/>
              </w:rPr>
              <w:t>33,333.33</w:t>
            </w:r>
          </w:p>
        </w:tc>
      </w:tr>
    </w:tbl>
    <w:p>
      <w:pPr>
        <w:pStyle w:val="Caption"/>
      </w:pPr>
      <w:r>
        <w:rPr>
          <w:i/>
        </w:rPr>
        <w:t>Table 3. Conservative cost budget using the 2.10% statutory maximum for secondary equity transactions up to KES 100,000 [2].</w:t>
      </w:r>
    </w:p>
    <w:p>
      <w:pPr>
        <w:pStyle w:val="Heading1"/>
        <w:keepNext/>
      </w:pPr>
      <w:r>
        <w:t>8. Three-Month DCA Execution Schedule</w:t>
      </w:r>
    </w:p>
    <w:p>
      <w:pPr>
        <w:pStyle w:val="BodyText"/>
        <w:spacing w:after="120" w:line="259" w:lineRule="auto"/>
        <w:jc w:val="both"/>
      </w:pPr>
      <w:r>
        <w:t>The first-month illustration uses 9 September prices and the post-fee target budgets. Approximately KES 6,530 of investable capital is assigned to Safaricom, KES 4,897 to each 15% position, and KES 3,265 to each 10% position. Whole-share rounding produces the quantities shown below. The resulting first-tranche security cost is about KES 32,020.60, leaving roughly KES 627 of the monthly investable amount uncommitted before actual fees. That residual should be carried forward rather than spent indiscriminately.</w:t>
      </w:r>
    </w:p>
    <w:p>
      <w:pPr>
        <w:pStyle w:val="BodyText"/>
        <w:spacing w:after="120" w:line="259" w:lineRule="auto"/>
        <w:jc w:val="both"/>
      </w:pPr>
      <w:r>
        <w:t>Months two and three should not copy the first-month quantities. Instead, before each monthly order, obtain the live prices, multiply the available security budget by the target weight, divide by the live price, and round down to a whole share. After the initial calculation, compare actual portfolio weights with targets. If a counter rose sharply during the prior month, it may already be overweight; directing the new contribution toward underweight names can rebalance the portfolio without selling. This creates a practical hybrid of DCA and contribution-based rebalancing.</w:t>
      </w:r>
    </w:p>
    <w:p>
      <w:pPr>
        <w:pStyle w:val="BodyText"/>
        <w:spacing w:after="120" w:line="259" w:lineRule="auto"/>
        <w:jc w:val="both"/>
      </w:pPr>
      <w:r>
        <w:t>Execution discipline also means avoiding the temptation to time purchases around dividend book-closure dates. A dividend is a transfer of value from the company to shareholders, not free wealth. Prices may adjust when a share trades ex-dividend, and a rushed purchase can expose the investor to a worse entry price. The purchase decision should be driven by the long-term investment case and the pre-set schedule; corporate-action dates are relevant for cash-flow planning, but they should not override valuation and diversification.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8"/>
            <w:vAlign w:val="center"/>
            <w:tcMar>
              <w:top w:w="70" w:type="dxa"/>
              <w:start w:w="90" w:type="dxa"/>
              <w:bottom w:w="70" w:type="dxa"/>
              <w:end w:w="90" w:type="dxa"/>
            </w:tcMar>
          </w:tcPr>
          <w:p>
            <w:r>
              <w:rPr>
                <w:b/>
                <w:color w:val="FFFFFF"/>
                <w:sz w:val="16"/>
              </w:rPr>
              <w:t>Counter</w:t>
            </w:r>
          </w:p>
        </w:tc>
        <w:tc>
          <w:tcPr>
            <w:tcW w:type="dxa" w:w="2033"/>
            <w:shd w:fill="1F4E78"/>
            <w:vAlign w:val="center"/>
            <w:tcMar>
              <w:top w:w="70" w:type="dxa"/>
              <w:start w:w="90" w:type="dxa"/>
              <w:bottom w:w="70" w:type="dxa"/>
              <w:end w:w="90" w:type="dxa"/>
            </w:tcMar>
          </w:tcPr>
          <w:p>
            <w:r>
              <w:rPr>
                <w:b/>
                <w:color w:val="FFFFFF"/>
                <w:sz w:val="16"/>
              </w:rPr>
              <w:t>Monthly target KES</w:t>
            </w:r>
          </w:p>
        </w:tc>
        <w:tc>
          <w:tcPr>
            <w:tcW w:type="dxa" w:w="2033"/>
            <w:shd w:fill="1F4E78"/>
            <w:vAlign w:val="center"/>
            <w:tcMar>
              <w:top w:w="70" w:type="dxa"/>
              <w:start w:w="90" w:type="dxa"/>
              <w:bottom w:w="70" w:type="dxa"/>
              <w:end w:w="90" w:type="dxa"/>
            </w:tcMar>
          </w:tcPr>
          <w:p>
            <w:r>
              <w:rPr>
                <w:b/>
                <w:color w:val="FFFFFF"/>
                <w:sz w:val="16"/>
              </w:rPr>
              <w:t>Ref. price KES</w:t>
            </w:r>
          </w:p>
        </w:tc>
        <w:tc>
          <w:tcPr>
            <w:tcW w:type="dxa" w:w="2033"/>
            <w:shd w:fill="1F4E78"/>
            <w:vAlign w:val="center"/>
            <w:tcMar>
              <w:top w:w="70" w:type="dxa"/>
              <w:start w:w="90" w:type="dxa"/>
              <w:bottom w:w="70" w:type="dxa"/>
              <w:end w:w="90" w:type="dxa"/>
            </w:tcMar>
          </w:tcPr>
          <w:p>
            <w:r>
              <w:rPr>
                <w:b/>
                <w:color w:val="FFFFFF"/>
                <w:sz w:val="16"/>
              </w:rPr>
              <w:t>Illustrative shares</w:t>
            </w:r>
          </w:p>
        </w:tc>
        <w:tc>
          <w:tcPr>
            <w:tcW w:type="dxa" w:w="2033"/>
            <w:shd w:fill="1F4E78"/>
            <w:vAlign w:val="center"/>
            <w:tcMar>
              <w:top w:w="70" w:type="dxa"/>
              <w:start w:w="90" w:type="dxa"/>
              <w:bottom w:w="70" w:type="dxa"/>
              <w:end w:w="90" w:type="dxa"/>
            </w:tcMar>
          </w:tcPr>
          <w:p>
            <w:r>
              <w:rPr>
                <w:b/>
                <w:color w:val="FFFFFF"/>
                <w:sz w:val="16"/>
              </w:rPr>
              <w:t>Approx. share cost KES</w:t>
            </w:r>
          </w:p>
        </w:tc>
      </w:tr>
      <w:tr>
        <w:trPr>
          <w:cantSplit/>
        </w:trPr>
        <w:tc>
          <w:tcPr>
            <w:tcW w:type="dxa" w:w="2033"/>
            <w:vAlign w:val="center"/>
            <w:tcMar>
              <w:top w:w="70" w:type="dxa"/>
              <w:start w:w="90" w:type="dxa"/>
              <w:bottom w:w="70" w:type="dxa"/>
              <w:end w:w="90" w:type="dxa"/>
            </w:tcMar>
          </w:tcPr>
          <w:p>
            <w:r>
              <w:rPr>
                <w:sz w:val="16"/>
              </w:rPr>
              <w:t>Safaricom (SCOM)</w:t>
            </w:r>
          </w:p>
        </w:tc>
        <w:tc>
          <w:tcPr>
            <w:tcW w:type="dxa" w:w="2033"/>
            <w:vAlign w:val="center"/>
            <w:tcMar>
              <w:top w:w="70" w:type="dxa"/>
              <w:start w:w="90" w:type="dxa"/>
              <w:bottom w:w="70" w:type="dxa"/>
              <w:end w:w="90" w:type="dxa"/>
            </w:tcMar>
          </w:tcPr>
          <w:p>
            <w:r>
              <w:rPr>
                <w:sz w:val="16"/>
              </w:rPr>
              <w:t>6,530</w:t>
            </w:r>
          </w:p>
        </w:tc>
        <w:tc>
          <w:tcPr>
            <w:tcW w:type="dxa" w:w="2033"/>
            <w:vAlign w:val="center"/>
            <w:tcMar>
              <w:top w:w="70" w:type="dxa"/>
              <w:start w:w="90" w:type="dxa"/>
              <w:bottom w:w="70" w:type="dxa"/>
              <w:end w:w="90" w:type="dxa"/>
            </w:tcMar>
          </w:tcPr>
          <w:p>
            <w:r>
              <w:rPr>
                <w:sz w:val="16"/>
              </w:rPr>
              <w:t>36.65</w:t>
            </w:r>
          </w:p>
        </w:tc>
        <w:tc>
          <w:tcPr>
            <w:tcW w:type="dxa" w:w="2033"/>
            <w:vAlign w:val="center"/>
            <w:tcMar>
              <w:top w:w="70" w:type="dxa"/>
              <w:start w:w="90" w:type="dxa"/>
              <w:bottom w:w="70" w:type="dxa"/>
              <w:end w:w="90" w:type="dxa"/>
            </w:tcMar>
          </w:tcPr>
          <w:p>
            <w:r>
              <w:rPr>
                <w:sz w:val="16"/>
              </w:rPr>
              <w:t>178</w:t>
            </w:r>
          </w:p>
        </w:tc>
        <w:tc>
          <w:tcPr>
            <w:tcW w:type="dxa" w:w="2033"/>
            <w:vAlign w:val="center"/>
            <w:tcMar>
              <w:top w:w="70" w:type="dxa"/>
              <w:start w:w="90" w:type="dxa"/>
              <w:bottom w:w="70" w:type="dxa"/>
              <w:end w:w="90" w:type="dxa"/>
            </w:tcMar>
          </w:tcPr>
          <w:p>
            <w:r>
              <w:rPr>
                <w:sz w:val="16"/>
              </w:rPr>
              <w:t>6,523.70</w:t>
            </w:r>
          </w:p>
        </w:tc>
      </w:tr>
      <w:tr>
        <w:trPr>
          <w:cantSplit/>
        </w:trPr>
        <w:tc>
          <w:tcPr>
            <w:tcW w:type="dxa" w:w="2033"/>
            <w:shd w:fill="EAF2F8"/>
            <w:vAlign w:val="center"/>
            <w:tcMar>
              <w:top w:w="70" w:type="dxa"/>
              <w:start w:w="90" w:type="dxa"/>
              <w:bottom w:w="70" w:type="dxa"/>
              <w:end w:w="90" w:type="dxa"/>
            </w:tcMar>
          </w:tcPr>
          <w:p>
            <w:r>
              <w:rPr>
                <w:sz w:val="16"/>
              </w:rPr>
              <w:t>Equity Group (EQTY)</w:t>
            </w:r>
          </w:p>
        </w:tc>
        <w:tc>
          <w:tcPr>
            <w:tcW w:type="dxa" w:w="2033"/>
            <w:shd w:fill="EAF2F8"/>
            <w:vAlign w:val="center"/>
            <w:tcMar>
              <w:top w:w="70" w:type="dxa"/>
              <w:start w:w="90" w:type="dxa"/>
              <w:bottom w:w="70" w:type="dxa"/>
              <w:end w:w="90" w:type="dxa"/>
            </w:tcMar>
          </w:tcPr>
          <w:p>
            <w:r>
              <w:rPr>
                <w:sz w:val="16"/>
              </w:rPr>
              <w:t>4,897</w:t>
            </w:r>
          </w:p>
        </w:tc>
        <w:tc>
          <w:tcPr>
            <w:tcW w:type="dxa" w:w="2033"/>
            <w:shd w:fill="EAF2F8"/>
            <w:vAlign w:val="center"/>
            <w:tcMar>
              <w:top w:w="70" w:type="dxa"/>
              <w:start w:w="90" w:type="dxa"/>
              <w:bottom w:w="70" w:type="dxa"/>
              <w:end w:w="90" w:type="dxa"/>
            </w:tcMar>
          </w:tcPr>
          <w:p>
            <w:r>
              <w:rPr>
                <w:sz w:val="16"/>
              </w:rPr>
              <w:t>101.50</w:t>
            </w:r>
          </w:p>
        </w:tc>
        <w:tc>
          <w:tcPr>
            <w:tcW w:type="dxa" w:w="2033"/>
            <w:shd w:fill="EAF2F8"/>
            <w:vAlign w:val="center"/>
            <w:tcMar>
              <w:top w:w="70" w:type="dxa"/>
              <w:start w:w="90" w:type="dxa"/>
              <w:bottom w:w="70" w:type="dxa"/>
              <w:end w:w="90" w:type="dxa"/>
            </w:tcMar>
          </w:tcPr>
          <w:p>
            <w:r>
              <w:rPr>
                <w:sz w:val="16"/>
              </w:rPr>
              <w:t>48</w:t>
            </w:r>
          </w:p>
        </w:tc>
        <w:tc>
          <w:tcPr>
            <w:tcW w:type="dxa" w:w="2033"/>
            <w:shd w:fill="EAF2F8"/>
            <w:vAlign w:val="center"/>
            <w:tcMar>
              <w:top w:w="70" w:type="dxa"/>
              <w:start w:w="90" w:type="dxa"/>
              <w:bottom w:w="70" w:type="dxa"/>
              <w:end w:w="90" w:type="dxa"/>
            </w:tcMar>
          </w:tcPr>
          <w:p>
            <w:r>
              <w:rPr>
                <w:sz w:val="16"/>
              </w:rPr>
              <w:t>4,872.00</w:t>
            </w:r>
          </w:p>
        </w:tc>
      </w:tr>
      <w:tr>
        <w:trPr>
          <w:cantSplit/>
        </w:trPr>
        <w:tc>
          <w:tcPr>
            <w:tcW w:type="dxa" w:w="2033"/>
            <w:vAlign w:val="center"/>
            <w:tcMar>
              <w:top w:w="70" w:type="dxa"/>
              <w:start w:w="90" w:type="dxa"/>
              <w:bottom w:w="70" w:type="dxa"/>
              <w:end w:w="90" w:type="dxa"/>
            </w:tcMar>
          </w:tcPr>
          <w:p>
            <w:r>
              <w:rPr>
                <w:sz w:val="16"/>
              </w:rPr>
              <w:t>Co-operative Bank (COOP)</w:t>
            </w:r>
          </w:p>
        </w:tc>
        <w:tc>
          <w:tcPr>
            <w:tcW w:type="dxa" w:w="2033"/>
            <w:vAlign w:val="center"/>
            <w:tcMar>
              <w:top w:w="70" w:type="dxa"/>
              <w:start w:w="90" w:type="dxa"/>
              <w:bottom w:w="70" w:type="dxa"/>
              <w:end w:w="90" w:type="dxa"/>
            </w:tcMar>
          </w:tcPr>
          <w:p>
            <w:r>
              <w:rPr>
                <w:sz w:val="16"/>
              </w:rPr>
              <w:t>4,897</w:t>
            </w:r>
          </w:p>
        </w:tc>
        <w:tc>
          <w:tcPr>
            <w:tcW w:type="dxa" w:w="2033"/>
            <w:vAlign w:val="center"/>
            <w:tcMar>
              <w:top w:w="70" w:type="dxa"/>
              <w:start w:w="90" w:type="dxa"/>
              <w:bottom w:w="70" w:type="dxa"/>
              <w:end w:w="90" w:type="dxa"/>
            </w:tcMar>
          </w:tcPr>
          <w:p>
            <w:r>
              <w:rPr>
                <w:sz w:val="16"/>
              </w:rPr>
              <w:t>37.85</w:t>
            </w:r>
          </w:p>
        </w:tc>
        <w:tc>
          <w:tcPr>
            <w:tcW w:type="dxa" w:w="2033"/>
            <w:vAlign w:val="center"/>
            <w:tcMar>
              <w:top w:w="70" w:type="dxa"/>
              <w:start w:w="90" w:type="dxa"/>
              <w:bottom w:w="70" w:type="dxa"/>
              <w:end w:w="90" w:type="dxa"/>
            </w:tcMar>
          </w:tcPr>
          <w:p>
            <w:r>
              <w:rPr>
                <w:sz w:val="16"/>
              </w:rPr>
              <w:t>129</w:t>
            </w:r>
          </w:p>
        </w:tc>
        <w:tc>
          <w:tcPr>
            <w:tcW w:type="dxa" w:w="2033"/>
            <w:vAlign w:val="center"/>
            <w:tcMar>
              <w:top w:w="70" w:type="dxa"/>
              <w:start w:w="90" w:type="dxa"/>
              <w:bottom w:w="70" w:type="dxa"/>
              <w:end w:w="90" w:type="dxa"/>
            </w:tcMar>
          </w:tcPr>
          <w:p>
            <w:r>
              <w:rPr>
                <w:sz w:val="16"/>
              </w:rPr>
              <w:t>4,882.65</w:t>
            </w:r>
          </w:p>
        </w:tc>
      </w:tr>
      <w:tr>
        <w:trPr>
          <w:cantSplit/>
        </w:trPr>
        <w:tc>
          <w:tcPr>
            <w:tcW w:type="dxa" w:w="2033"/>
            <w:shd w:fill="EAF2F8"/>
            <w:vAlign w:val="center"/>
            <w:tcMar>
              <w:top w:w="70" w:type="dxa"/>
              <w:start w:w="90" w:type="dxa"/>
              <w:bottom w:w="70" w:type="dxa"/>
              <w:end w:w="90" w:type="dxa"/>
            </w:tcMar>
          </w:tcPr>
          <w:p>
            <w:r>
              <w:rPr>
                <w:sz w:val="16"/>
              </w:rPr>
              <w:t>Standard Chartered Kenya (SCBK)</w:t>
            </w:r>
          </w:p>
        </w:tc>
        <w:tc>
          <w:tcPr>
            <w:tcW w:type="dxa" w:w="2033"/>
            <w:shd w:fill="EAF2F8"/>
            <w:vAlign w:val="center"/>
            <w:tcMar>
              <w:top w:w="70" w:type="dxa"/>
              <w:start w:w="90" w:type="dxa"/>
              <w:bottom w:w="70" w:type="dxa"/>
              <w:end w:w="90" w:type="dxa"/>
            </w:tcMar>
          </w:tcPr>
          <w:p>
            <w:r>
              <w:rPr>
                <w:sz w:val="16"/>
              </w:rPr>
              <w:t>4,897</w:t>
            </w:r>
          </w:p>
        </w:tc>
        <w:tc>
          <w:tcPr>
            <w:tcW w:type="dxa" w:w="2033"/>
            <w:shd w:fill="EAF2F8"/>
            <w:vAlign w:val="center"/>
            <w:tcMar>
              <w:top w:w="70" w:type="dxa"/>
              <w:start w:w="90" w:type="dxa"/>
              <w:bottom w:w="70" w:type="dxa"/>
              <w:end w:w="90" w:type="dxa"/>
            </w:tcMar>
          </w:tcPr>
          <w:p>
            <w:r>
              <w:rPr>
                <w:sz w:val="16"/>
              </w:rPr>
              <w:t>349.25</w:t>
            </w:r>
          </w:p>
        </w:tc>
        <w:tc>
          <w:tcPr>
            <w:tcW w:type="dxa" w:w="2033"/>
            <w:shd w:fill="EAF2F8"/>
            <w:vAlign w:val="center"/>
            <w:tcMar>
              <w:top w:w="70" w:type="dxa"/>
              <w:start w:w="90" w:type="dxa"/>
              <w:bottom w:w="70" w:type="dxa"/>
              <w:end w:w="90" w:type="dxa"/>
            </w:tcMar>
          </w:tcPr>
          <w:p>
            <w:r>
              <w:rPr>
                <w:sz w:val="16"/>
              </w:rPr>
              <w:t>14</w:t>
            </w:r>
          </w:p>
        </w:tc>
        <w:tc>
          <w:tcPr>
            <w:tcW w:type="dxa" w:w="2033"/>
            <w:shd w:fill="EAF2F8"/>
            <w:vAlign w:val="center"/>
            <w:tcMar>
              <w:top w:w="70" w:type="dxa"/>
              <w:start w:w="90" w:type="dxa"/>
              <w:bottom w:w="70" w:type="dxa"/>
              <w:end w:w="90" w:type="dxa"/>
            </w:tcMar>
          </w:tcPr>
          <w:p>
            <w:r>
              <w:rPr>
                <w:sz w:val="16"/>
              </w:rPr>
              <w:t>4,889.50</w:t>
            </w:r>
          </w:p>
        </w:tc>
      </w:tr>
      <w:tr>
        <w:trPr>
          <w:cantSplit/>
        </w:trPr>
        <w:tc>
          <w:tcPr>
            <w:tcW w:type="dxa" w:w="2033"/>
            <w:vAlign w:val="center"/>
            <w:tcMar>
              <w:top w:w="70" w:type="dxa"/>
              <w:start w:w="90" w:type="dxa"/>
              <w:bottom w:w="70" w:type="dxa"/>
              <w:end w:w="90" w:type="dxa"/>
            </w:tcMar>
          </w:tcPr>
          <w:p>
            <w:r>
              <w:rPr>
                <w:sz w:val="16"/>
              </w:rPr>
              <w:t>BAT Kenya (BAT)</w:t>
            </w:r>
          </w:p>
        </w:tc>
        <w:tc>
          <w:tcPr>
            <w:tcW w:type="dxa" w:w="2033"/>
            <w:vAlign w:val="center"/>
            <w:tcMar>
              <w:top w:w="70" w:type="dxa"/>
              <w:start w:w="90" w:type="dxa"/>
              <w:bottom w:w="70" w:type="dxa"/>
              <w:end w:w="90" w:type="dxa"/>
            </w:tcMar>
          </w:tcPr>
          <w:p>
            <w:r>
              <w:rPr>
                <w:sz w:val="16"/>
              </w:rPr>
              <w:t>4,897</w:t>
            </w:r>
          </w:p>
        </w:tc>
        <w:tc>
          <w:tcPr>
            <w:tcW w:type="dxa" w:w="2033"/>
            <w:vAlign w:val="center"/>
            <w:tcMar>
              <w:top w:w="70" w:type="dxa"/>
              <w:start w:w="90" w:type="dxa"/>
              <w:bottom w:w="70" w:type="dxa"/>
              <w:end w:w="90" w:type="dxa"/>
            </w:tcMar>
          </w:tcPr>
          <w:p>
            <w:r>
              <w:rPr>
                <w:sz w:val="16"/>
              </w:rPr>
              <w:t>559.00</w:t>
            </w:r>
          </w:p>
        </w:tc>
        <w:tc>
          <w:tcPr>
            <w:tcW w:type="dxa" w:w="2033"/>
            <w:vAlign w:val="center"/>
            <w:tcMar>
              <w:top w:w="70" w:type="dxa"/>
              <w:start w:w="90" w:type="dxa"/>
              <w:bottom w:w="70" w:type="dxa"/>
              <w:end w:w="90" w:type="dxa"/>
            </w:tcMar>
          </w:tcPr>
          <w:p>
            <w:r>
              <w:rPr>
                <w:sz w:val="16"/>
              </w:rPr>
              <w:t>8</w:t>
            </w:r>
          </w:p>
        </w:tc>
        <w:tc>
          <w:tcPr>
            <w:tcW w:type="dxa" w:w="2033"/>
            <w:vAlign w:val="center"/>
            <w:tcMar>
              <w:top w:w="70" w:type="dxa"/>
              <w:start w:w="90" w:type="dxa"/>
              <w:bottom w:w="70" w:type="dxa"/>
              <w:end w:w="90" w:type="dxa"/>
            </w:tcMar>
          </w:tcPr>
          <w:p>
            <w:r>
              <w:rPr>
                <w:sz w:val="16"/>
              </w:rPr>
              <w:t>4,472.00</w:t>
            </w:r>
          </w:p>
        </w:tc>
      </w:tr>
      <w:tr>
        <w:trPr>
          <w:cantSplit/>
        </w:trPr>
        <w:tc>
          <w:tcPr>
            <w:tcW w:type="dxa" w:w="2033"/>
            <w:shd w:fill="EAF2F8"/>
            <w:vAlign w:val="center"/>
            <w:tcMar>
              <w:top w:w="70" w:type="dxa"/>
              <w:start w:w="90" w:type="dxa"/>
              <w:bottom w:w="70" w:type="dxa"/>
              <w:end w:w="90" w:type="dxa"/>
            </w:tcMar>
          </w:tcPr>
          <w:p>
            <w:r>
              <w:rPr>
                <w:sz w:val="16"/>
              </w:rPr>
              <w:t>EABL</w:t>
            </w:r>
          </w:p>
        </w:tc>
        <w:tc>
          <w:tcPr>
            <w:tcW w:type="dxa" w:w="2033"/>
            <w:shd w:fill="EAF2F8"/>
            <w:vAlign w:val="center"/>
            <w:tcMar>
              <w:top w:w="70" w:type="dxa"/>
              <w:start w:w="90" w:type="dxa"/>
              <w:bottom w:w="70" w:type="dxa"/>
              <w:end w:w="90" w:type="dxa"/>
            </w:tcMar>
          </w:tcPr>
          <w:p>
            <w:r>
              <w:rPr>
                <w:sz w:val="16"/>
              </w:rPr>
              <w:t>3,265</w:t>
            </w:r>
          </w:p>
        </w:tc>
        <w:tc>
          <w:tcPr>
            <w:tcW w:type="dxa" w:w="2033"/>
            <w:shd w:fill="EAF2F8"/>
            <w:vAlign w:val="center"/>
            <w:tcMar>
              <w:top w:w="70" w:type="dxa"/>
              <w:start w:w="90" w:type="dxa"/>
              <w:bottom w:w="70" w:type="dxa"/>
              <w:end w:w="90" w:type="dxa"/>
            </w:tcMar>
          </w:tcPr>
          <w:p>
            <w:r>
              <w:rPr>
                <w:sz w:val="16"/>
              </w:rPr>
              <w:t>285.25</w:t>
            </w:r>
          </w:p>
        </w:tc>
        <w:tc>
          <w:tcPr>
            <w:tcW w:type="dxa" w:w="2033"/>
            <w:shd w:fill="EAF2F8"/>
            <w:vAlign w:val="center"/>
            <w:tcMar>
              <w:top w:w="70" w:type="dxa"/>
              <w:start w:w="90" w:type="dxa"/>
              <w:bottom w:w="70" w:type="dxa"/>
              <w:end w:w="90" w:type="dxa"/>
            </w:tcMar>
          </w:tcPr>
          <w:p>
            <w:r>
              <w:rPr>
                <w:sz w:val="16"/>
              </w:rPr>
              <w:t>11</w:t>
            </w:r>
          </w:p>
        </w:tc>
        <w:tc>
          <w:tcPr>
            <w:tcW w:type="dxa" w:w="2033"/>
            <w:shd w:fill="EAF2F8"/>
            <w:vAlign w:val="center"/>
            <w:tcMar>
              <w:top w:w="70" w:type="dxa"/>
              <w:start w:w="90" w:type="dxa"/>
              <w:bottom w:w="70" w:type="dxa"/>
              <w:end w:w="90" w:type="dxa"/>
            </w:tcMar>
          </w:tcPr>
          <w:p>
            <w:r>
              <w:rPr>
                <w:sz w:val="16"/>
              </w:rPr>
              <w:t>3,137.75</w:t>
            </w:r>
          </w:p>
        </w:tc>
      </w:tr>
      <w:tr>
        <w:trPr>
          <w:cantSplit/>
        </w:trPr>
        <w:tc>
          <w:tcPr>
            <w:tcW w:type="dxa" w:w="2033"/>
            <w:vAlign w:val="center"/>
            <w:tcMar>
              <w:top w:w="70" w:type="dxa"/>
              <w:start w:w="90" w:type="dxa"/>
              <w:bottom w:w="70" w:type="dxa"/>
              <w:end w:w="90" w:type="dxa"/>
            </w:tcMar>
          </w:tcPr>
          <w:p>
            <w:r>
              <w:rPr>
                <w:sz w:val="16"/>
              </w:rPr>
              <w:t>NSE PLC</w:t>
            </w:r>
          </w:p>
        </w:tc>
        <w:tc>
          <w:tcPr>
            <w:tcW w:type="dxa" w:w="2033"/>
            <w:vAlign w:val="center"/>
            <w:tcMar>
              <w:top w:w="70" w:type="dxa"/>
              <w:start w:w="90" w:type="dxa"/>
              <w:bottom w:w="70" w:type="dxa"/>
              <w:end w:w="90" w:type="dxa"/>
            </w:tcMar>
          </w:tcPr>
          <w:p>
            <w:r>
              <w:rPr>
                <w:sz w:val="16"/>
              </w:rPr>
              <w:t>3,265</w:t>
            </w:r>
          </w:p>
        </w:tc>
        <w:tc>
          <w:tcPr>
            <w:tcW w:type="dxa" w:w="2033"/>
            <w:vAlign w:val="center"/>
            <w:tcMar>
              <w:top w:w="70" w:type="dxa"/>
              <w:start w:w="90" w:type="dxa"/>
              <w:bottom w:w="70" w:type="dxa"/>
              <w:end w:w="90" w:type="dxa"/>
            </w:tcMar>
          </w:tcPr>
          <w:p>
            <w:r>
              <w:rPr>
                <w:sz w:val="16"/>
              </w:rPr>
              <w:t>28.20</w:t>
            </w:r>
          </w:p>
        </w:tc>
        <w:tc>
          <w:tcPr>
            <w:tcW w:type="dxa" w:w="2033"/>
            <w:vAlign w:val="center"/>
            <w:tcMar>
              <w:top w:w="70" w:type="dxa"/>
              <w:start w:w="90" w:type="dxa"/>
              <w:bottom w:w="70" w:type="dxa"/>
              <w:end w:w="90" w:type="dxa"/>
            </w:tcMar>
          </w:tcPr>
          <w:p>
            <w:r>
              <w:rPr>
                <w:sz w:val="16"/>
              </w:rPr>
              <w:t>115</w:t>
            </w:r>
          </w:p>
        </w:tc>
        <w:tc>
          <w:tcPr>
            <w:tcW w:type="dxa" w:w="2033"/>
            <w:vAlign w:val="center"/>
            <w:tcMar>
              <w:top w:w="70" w:type="dxa"/>
              <w:start w:w="90" w:type="dxa"/>
              <w:bottom w:w="70" w:type="dxa"/>
              <w:end w:w="90" w:type="dxa"/>
            </w:tcMar>
          </w:tcPr>
          <w:p>
            <w:r>
              <w:rPr>
                <w:sz w:val="16"/>
              </w:rPr>
              <w:t>3,243.00</w:t>
            </w:r>
          </w:p>
        </w:tc>
      </w:tr>
      <w:tr>
        <w:trPr>
          <w:cantSplit/>
        </w:trPr>
        <w:tc>
          <w:tcPr>
            <w:tcW w:type="dxa" w:w="2033"/>
            <w:shd w:fill="EAF2F8"/>
            <w:vAlign w:val="center"/>
            <w:tcMar>
              <w:top w:w="70" w:type="dxa"/>
              <w:start w:w="90" w:type="dxa"/>
              <w:bottom w:w="70" w:type="dxa"/>
              <w:end w:w="90" w:type="dxa"/>
            </w:tcMar>
          </w:tcPr>
          <w:p>
            <w:r>
              <w:rPr>
                <w:sz w:val="16"/>
              </w:rPr>
              <w:t>Total</w:t>
            </w:r>
          </w:p>
        </w:tc>
        <w:tc>
          <w:tcPr>
            <w:tcW w:type="dxa" w:w="2033"/>
            <w:shd w:fill="EAF2F8"/>
            <w:vAlign w:val="center"/>
            <w:tcMar>
              <w:top w:w="70" w:type="dxa"/>
              <w:start w:w="90" w:type="dxa"/>
              <w:bottom w:w="70" w:type="dxa"/>
              <w:end w:w="90" w:type="dxa"/>
            </w:tcMar>
          </w:tcPr>
          <w:p>
            <w:r>
              <w:rPr>
                <w:sz w:val="16"/>
              </w:rPr>
              <w:t>32,648</w:t>
            </w:r>
          </w:p>
        </w:tc>
        <w:tc>
          <w:tcPr>
            <w:tcW w:type="dxa" w:w="2033"/>
            <w:shd w:fill="EAF2F8"/>
            <w:vAlign w:val="center"/>
            <w:tcMar>
              <w:top w:w="70" w:type="dxa"/>
              <w:start w:w="90" w:type="dxa"/>
              <w:bottom w:w="70" w:type="dxa"/>
              <w:end w:w="90" w:type="dxa"/>
            </w:tcMar>
          </w:tcPr>
          <w:p>
            <w:r>
              <w:rPr>
                <w:sz w:val="16"/>
              </w:rPr>
              <w:t>—</w:t>
            </w:r>
          </w:p>
        </w:tc>
        <w:tc>
          <w:tcPr>
            <w:tcW w:type="dxa" w:w="2033"/>
            <w:shd w:fill="EAF2F8"/>
            <w:vAlign w:val="center"/>
            <w:tcMar>
              <w:top w:w="70" w:type="dxa"/>
              <w:start w:w="90" w:type="dxa"/>
              <w:bottom w:w="70" w:type="dxa"/>
              <w:end w:w="90" w:type="dxa"/>
            </w:tcMar>
          </w:tcPr>
          <w:p>
            <w:r>
              <w:rPr>
                <w:sz w:val="16"/>
              </w:rPr>
              <w:t>—</w:t>
            </w:r>
          </w:p>
        </w:tc>
        <w:tc>
          <w:tcPr>
            <w:tcW w:type="dxa" w:w="2033"/>
            <w:shd w:fill="EAF2F8"/>
            <w:vAlign w:val="center"/>
            <w:tcMar>
              <w:top w:w="70" w:type="dxa"/>
              <w:start w:w="90" w:type="dxa"/>
              <w:bottom w:w="70" w:type="dxa"/>
              <w:end w:w="90" w:type="dxa"/>
            </w:tcMar>
          </w:tcPr>
          <w:p>
            <w:r>
              <w:rPr>
                <w:sz w:val="16"/>
              </w:rPr>
              <w:t>32,020.60</w:t>
            </w:r>
          </w:p>
        </w:tc>
      </w:tr>
    </w:tbl>
    <w:p>
      <w:pPr>
        <w:pStyle w:val="Caption"/>
      </w:pPr>
      <w:r>
        <w:rPr>
          <w:i/>
        </w:rPr>
        <w:t>Table 4. Illustrative first-month execution using 9 Sep. 2026 prices [1]. Months 2 and 3 must be recalculated from live prices; quantities are not fixed.</w:t>
      </w:r>
    </w:p>
    <w:p>
      <w:pPr>
        <w:pStyle w:val="Heading1"/>
        <w:keepNext/>
      </w:pPr>
      <w:r>
        <w:t>9. Indicative Dividend Income and Tax</w:t>
      </w:r>
    </w:p>
    <w:p>
      <w:pPr>
        <w:pStyle w:val="BodyText"/>
        <w:spacing w:after="120" w:line="259" w:lineRule="auto"/>
        <w:jc w:val="both"/>
      </w:pPr>
      <w:r>
        <w:t>Using the most recent full-year or annual distributions in the core table, the portfolio has a weighted headline gross yield of approximately 6.94% at the 9 September prices. Applied to approximately KES 97,943 of securities, that corresponds to roughly KES 6,799 of annual gross dividend income if—an important assumption—the same distributions were repeated and the portfolio could be acquired at the reference prices. The number is a screening estimate, not a forecast. Some record dates have already passed, some distributions may change, and NSE PLC's KES 1.00 includes a special dividend.</w:t>
      </w:r>
    </w:p>
    <w:p>
      <w:pPr>
        <w:pStyle w:val="BodyText"/>
        <w:spacing w:after="120" w:line="259" w:lineRule="auto"/>
        <w:jc w:val="both"/>
      </w:pPr>
      <w:r>
        <w:t>For a resident individual, the Income Tax Act specifies a 5% resident withholding-tax rate on a qualifying dividend and states that this is final tax [5]. On the simplified assumption that the entire KES 6,799 is qualifying dividend income, the net amount would be approximately KES 6,459. The effective net cash yield on the original KES 100,000 wallet would therefore be about 6.46% before any capital gain or loss. Investors with different tax status should not assume the same treatment.</w:t>
      </w:r>
    </w:p>
    <w:p>
      <w:pPr>
        <w:pStyle w:val="BodyText"/>
        <w:spacing w:after="120" w:line="259" w:lineRule="auto"/>
        <w:jc w:val="both"/>
      </w:pPr>
      <w:r>
        <w:t>Kenya's tax treatment of listed-share gains is also relevant to total-return planning. KRA's current guidance identifies a gain on transfer of securities traded on a securities exchange licensed by the CMA among CGT exemptions/exclusions [6]. Tax law can change, so the correct practice is to recheck the prevailing law at the time of disposal rather than embedding today's treatment permanently into a long-horizon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vAlign w:val="center"/>
            <w:tcMar>
              <w:top w:w="70" w:type="dxa"/>
              <w:start w:w="90" w:type="dxa"/>
              <w:bottom w:w="70" w:type="dxa"/>
              <w:end w:w="90" w:type="dxa"/>
            </w:tcMar>
          </w:tcPr>
          <w:p>
            <w:r>
              <w:rPr>
                <w:b/>
                <w:color w:val="FFFFFF"/>
                <w:sz w:val="16"/>
              </w:rPr>
              <w:t>Counter</w:t>
            </w:r>
          </w:p>
        </w:tc>
        <w:tc>
          <w:tcPr>
            <w:tcW w:type="dxa" w:w="2541"/>
            <w:shd w:fill="1F4E78"/>
            <w:vAlign w:val="center"/>
            <w:tcMar>
              <w:top w:w="70" w:type="dxa"/>
              <w:start w:w="90" w:type="dxa"/>
              <w:bottom w:w="70" w:type="dxa"/>
              <w:end w:w="90" w:type="dxa"/>
            </w:tcMar>
          </w:tcPr>
          <w:p>
            <w:r>
              <w:rPr>
                <w:b/>
                <w:color w:val="FFFFFF"/>
                <w:sz w:val="16"/>
              </w:rPr>
              <w:t>Target capital KES</w:t>
            </w:r>
          </w:p>
        </w:tc>
        <w:tc>
          <w:tcPr>
            <w:tcW w:type="dxa" w:w="2541"/>
            <w:shd w:fill="1F4E78"/>
            <w:vAlign w:val="center"/>
            <w:tcMar>
              <w:top w:w="70" w:type="dxa"/>
              <w:start w:w="90" w:type="dxa"/>
              <w:bottom w:w="70" w:type="dxa"/>
              <w:end w:w="90" w:type="dxa"/>
            </w:tcMar>
          </w:tcPr>
          <w:p>
            <w:r>
              <w:rPr>
                <w:b/>
                <w:color w:val="FFFFFF"/>
                <w:sz w:val="16"/>
              </w:rPr>
              <w:t>Indicative yield</w:t>
            </w:r>
          </w:p>
        </w:tc>
        <w:tc>
          <w:tcPr>
            <w:tcW w:type="dxa" w:w="2541"/>
            <w:shd w:fill="1F4E78"/>
            <w:vAlign w:val="center"/>
            <w:tcMar>
              <w:top w:w="70" w:type="dxa"/>
              <w:start w:w="90" w:type="dxa"/>
              <w:bottom w:w="70" w:type="dxa"/>
              <w:end w:w="90" w:type="dxa"/>
            </w:tcMar>
          </w:tcPr>
          <w:p>
            <w:r>
              <w:rPr>
                <w:b/>
                <w:color w:val="FFFFFF"/>
                <w:sz w:val="16"/>
              </w:rPr>
              <w:t>Approx. annual gross dividend KES</w:t>
            </w:r>
          </w:p>
        </w:tc>
      </w:tr>
      <w:tr>
        <w:trPr>
          <w:cantSplit/>
        </w:trPr>
        <w:tc>
          <w:tcPr>
            <w:tcW w:type="dxa" w:w="2541"/>
            <w:vAlign w:val="center"/>
            <w:tcMar>
              <w:top w:w="70" w:type="dxa"/>
              <w:start w:w="90" w:type="dxa"/>
              <w:bottom w:w="70" w:type="dxa"/>
              <w:end w:w="90" w:type="dxa"/>
            </w:tcMar>
          </w:tcPr>
          <w:p>
            <w:r>
              <w:rPr>
                <w:sz w:val="16"/>
              </w:rPr>
              <w:t>Safaricom (SCOM)</w:t>
            </w:r>
          </w:p>
        </w:tc>
        <w:tc>
          <w:tcPr>
            <w:tcW w:type="dxa" w:w="2541"/>
            <w:vAlign w:val="center"/>
            <w:tcMar>
              <w:top w:w="70" w:type="dxa"/>
              <w:start w:w="90" w:type="dxa"/>
              <w:bottom w:w="70" w:type="dxa"/>
              <w:end w:w="90" w:type="dxa"/>
            </w:tcMar>
          </w:tcPr>
          <w:p>
            <w:r>
              <w:rPr>
                <w:sz w:val="16"/>
              </w:rPr>
              <w:t>19,589</w:t>
            </w:r>
          </w:p>
        </w:tc>
        <w:tc>
          <w:tcPr>
            <w:tcW w:type="dxa" w:w="2541"/>
            <w:vAlign w:val="center"/>
            <w:tcMar>
              <w:top w:w="70" w:type="dxa"/>
              <w:start w:w="90" w:type="dxa"/>
              <w:bottom w:w="70" w:type="dxa"/>
              <w:end w:w="90" w:type="dxa"/>
            </w:tcMar>
          </w:tcPr>
          <w:p>
            <w:r>
              <w:rPr>
                <w:sz w:val="16"/>
              </w:rPr>
              <w:t>5.46%</w:t>
            </w:r>
          </w:p>
        </w:tc>
        <w:tc>
          <w:tcPr>
            <w:tcW w:type="dxa" w:w="2541"/>
            <w:vAlign w:val="center"/>
            <w:tcMar>
              <w:top w:w="70" w:type="dxa"/>
              <w:start w:w="90" w:type="dxa"/>
              <w:bottom w:w="70" w:type="dxa"/>
              <w:end w:w="90" w:type="dxa"/>
            </w:tcMar>
          </w:tcPr>
          <w:p>
            <w:r>
              <w:rPr>
                <w:sz w:val="16"/>
              </w:rPr>
              <w:t>1,069</w:t>
            </w:r>
          </w:p>
        </w:tc>
      </w:tr>
      <w:tr>
        <w:trPr>
          <w:cantSplit/>
        </w:trPr>
        <w:tc>
          <w:tcPr>
            <w:tcW w:type="dxa" w:w="2541"/>
            <w:shd w:fill="EAF2F8"/>
            <w:vAlign w:val="center"/>
            <w:tcMar>
              <w:top w:w="70" w:type="dxa"/>
              <w:start w:w="90" w:type="dxa"/>
              <w:bottom w:w="70" w:type="dxa"/>
              <w:end w:w="90" w:type="dxa"/>
            </w:tcMar>
          </w:tcPr>
          <w:p>
            <w:r>
              <w:rPr>
                <w:sz w:val="16"/>
              </w:rPr>
              <w:t>Equity Group (EQTY)</w:t>
            </w:r>
          </w:p>
        </w:tc>
        <w:tc>
          <w:tcPr>
            <w:tcW w:type="dxa" w:w="2541"/>
            <w:shd w:fill="EAF2F8"/>
            <w:vAlign w:val="center"/>
            <w:tcMar>
              <w:top w:w="70" w:type="dxa"/>
              <w:start w:w="90" w:type="dxa"/>
              <w:bottom w:w="70" w:type="dxa"/>
              <w:end w:w="90" w:type="dxa"/>
            </w:tcMar>
          </w:tcPr>
          <w:p>
            <w:r>
              <w:rPr>
                <w:sz w:val="16"/>
              </w:rPr>
              <w:t>14,691</w:t>
            </w:r>
          </w:p>
        </w:tc>
        <w:tc>
          <w:tcPr>
            <w:tcW w:type="dxa" w:w="2541"/>
            <w:shd w:fill="EAF2F8"/>
            <w:vAlign w:val="center"/>
            <w:tcMar>
              <w:top w:w="70" w:type="dxa"/>
              <w:start w:w="90" w:type="dxa"/>
              <w:bottom w:w="70" w:type="dxa"/>
              <w:end w:w="90" w:type="dxa"/>
            </w:tcMar>
          </w:tcPr>
          <w:p>
            <w:r>
              <w:rPr>
                <w:sz w:val="16"/>
              </w:rPr>
              <w:t>5.67%</w:t>
            </w:r>
          </w:p>
        </w:tc>
        <w:tc>
          <w:tcPr>
            <w:tcW w:type="dxa" w:w="2541"/>
            <w:shd w:fill="EAF2F8"/>
            <w:vAlign w:val="center"/>
            <w:tcMar>
              <w:top w:w="70" w:type="dxa"/>
              <w:start w:w="90" w:type="dxa"/>
              <w:bottom w:w="70" w:type="dxa"/>
              <w:end w:w="90" w:type="dxa"/>
            </w:tcMar>
          </w:tcPr>
          <w:p>
            <w:r>
              <w:rPr>
                <w:sz w:val="16"/>
              </w:rPr>
              <w:t>832</w:t>
            </w:r>
          </w:p>
        </w:tc>
      </w:tr>
      <w:tr>
        <w:trPr>
          <w:cantSplit/>
        </w:trPr>
        <w:tc>
          <w:tcPr>
            <w:tcW w:type="dxa" w:w="2541"/>
            <w:vAlign w:val="center"/>
            <w:tcMar>
              <w:top w:w="70" w:type="dxa"/>
              <w:start w:w="90" w:type="dxa"/>
              <w:bottom w:w="70" w:type="dxa"/>
              <w:end w:w="90" w:type="dxa"/>
            </w:tcMar>
          </w:tcPr>
          <w:p>
            <w:r>
              <w:rPr>
                <w:sz w:val="16"/>
              </w:rPr>
              <w:t>Co-operative Bank (COOP)</w:t>
            </w:r>
          </w:p>
        </w:tc>
        <w:tc>
          <w:tcPr>
            <w:tcW w:type="dxa" w:w="2541"/>
            <w:vAlign w:val="center"/>
            <w:tcMar>
              <w:top w:w="70" w:type="dxa"/>
              <w:start w:w="90" w:type="dxa"/>
              <w:bottom w:w="70" w:type="dxa"/>
              <w:end w:w="90" w:type="dxa"/>
            </w:tcMar>
          </w:tcPr>
          <w:p>
            <w:r>
              <w:rPr>
                <w:sz w:val="16"/>
              </w:rPr>
              <w:t>14,691</w:t>
            </w:r>
          </w:p>
        </w:tc>
        <w:tc>
          <w:tcPr>
            <w:tcW w:type="dxa" w:w="2541"/>
            <w:vAlign w:val="center"/>
            <w:tcMar>
              <w:top w:w="70" w:type="dxa"/>
              <w:start w:w="90" w:type="dxa"/>
              <w:bottom w:w="70" w:type="dxa"/>
              <w:end w:w="90" w:type="dxa"/>
            </w:tcMar>
          </w:tcPr>
          <w:p>
            <w:r>
              <w:rPr>
                <w:sz w:val="16"/>
              </w:rPr>
              <w:t>6.61%</w:t>
            </w:r>
          </w:p>
        </w:tc>
        <w:tc>
          <w:tcPr>
            <w:tcW w:type="dxa" w:w="2541"/>
            <w:vAlign w:val="center"/>
            <w:tcMar>
              <w:top w:w="70" w:type="dxa"/>
              <w:start w:w="90" w:type="dxa"/>
              <w:bottom w:w="70" w:type="dxa"/>
              <w:end w:w="90" w:type="dxa"/>
            </w:tcMar>
          </w:tcPr>
          <w:p>
            <w:r>
              <w:rPr>
                <w:sz w:val="16"/>
              </w:rPr>
              <w:t>970</w:t>
            </w:r>
          </w:p>
        </w:tc>
      </w:tr>
      <w:tr>
        <w:trPr>
          <w:cantSplit/>
        </w:trPr>
        <w:tc>
          <w:tcPr>
            <w:tcW w:type="dxa" w:w="2541"/>
            <w:shd w:fill="EAF2F8"/>
            <w:vAlign w:val="center"/>
            <w:tcMar>
              <w:top w:w="70" w:type="dxa"/>
              <w:start w:w="90" w:type="dxa"/>
              <w:bottom w:w="70" w:type="dxa"/>
              <w:end w:w="90" w:type="dxa"/>
            </w:tcMar>
          </w:tcPr>
          <w:p>
            <w:r>
              <w:rPr>
                <w:sz w:val="16"/>
              </w:rPr>
              <w:t>Standard Chartered Kenya (SCBK)</w:t>
            </w:r>
          </w:p>
        </w:tc>
        <w:tc>
          <w:tcPr>
            <w:tcW w:type="dxa" w:w="2541"/>
            <w:shd w:fill="EAF2F8"/>
            <w:vAlign w:val="center"/>
            <w:tcMar>
              <w:top w:w="70" w:type="dxa"/>
              <w:start w:w="90" w:type="dxa"/>
              <w:bottom w:w="70" w:type="dxa"/>
              <w:end w:w="90" w:type="dxa"/>
            </w:tcMar>
          </w:tcPr>
          <w:p>
            <w:r>
              <w:rPr>
                <w:sz w:val="16"/>
              </w:rPr>
              <w:t>14,691</w:t>
            </w:r>
          </w:p>
        </w:tc>
        <w:tc>
          <w:tcPr>
            <w:tcW w:type="dxa" w:w="2541"/>
            <w:shd w:fill="EAF2F8"/>
            <w:vAlign w:val="center"/>
            <w:tcMar>
              <w:top w:w="70" w:type="dxa"/>
              <w:start w:w="90" w:type="dxa"/>
              <w:bottom w:w="70" w:type="dxa"/>
              <w:end w:w="90" w:type="dxa"/>
            </w:tcMar>
          </w:tcPr>
          <w:p>
            <w:r>
              <w:rPr>
                <w:sz w:val="16"/>
              </w:rPr>
              <w:t>8.88%</w:t>
            </w:r>
          </w:p>
        </w:tc>
        <w:tc>
          <w:tcPr>
            <w:tcW w:type="dxa" w:w="2541"/>
            <w:shd w:fill="EAF2F8"/>
            <w:vAlign w:val="center"/>
            <w:tcMar>
              <w:top w:w="70" w:type="dxa"/>
              <w:start w:w="90" w:type="dxa"/>
              <w:bottom w:w="70" w:type="dxa"/>
              <w:end w:w="90" w:type="dxa"/>
            </w:tcMar>
          </w:tcPr>
          <w:p>
            <w:r>
              <w:rPr>
                <w:sz w:val="16"/>
              </w:rPr>
              <w:t>1,304</w:t>
            </w:r>
          </w:p>
        </w:tc>
      </w:tr>
      <w:tr>
        <w:trPr>
          <w:cantSplit/>
        </w:trPr>
        <w:tc>
          <w:tcPr>
            <w:tcW w:type="dxa" w:w="2541"/>
            <w:vAlign w:val="center"/>
            <w:tcMar>
              <w:top w:w="70" w:type="dxa"/>
              <w:start w:w="90" w:type="dxa"/>
              <w:bottom w:w="70" w:type="dxa"/>
              <w:end w:w="90" w:type="dxa"/>
            </w:tcMar>
          </w:tcPr>
          <w:p>
            <w:r>
              <w:rPr>
                <w:sz w:val="16"/>
              </w:rPr>
              <w:t>BAT Kenya (BAT)</w:t>
            </w:r>
          </w:p>
        </w:tc>
        <w:tc>
          <w:tcPr>
            <w:tcW w:type="dxa" w:w="2541"/>
            <w:vAlign w:val="center"/>
            <w:tcMar>
              <w:top w:w="70" w:type="dxa"/>
              <w:start w:w="90" w:type="dxa"/>
              <w:bottom w:w="70" w:type="dxa"/>
              <w:end w:w="90" w:type="dxa"/>
            </w:tcMar>
          </w:tcPr>
          <w:p>
            <w:r>
              <w:rPr>
                <w:sz w:val="16"/>
              </w:rPr>
              <w:t>14,691</w:t>
            </w:r>
          </w:p>
        </w:tc>
        <w:tc>
          <w:tcPr>
            <w:tcW w:type="dxa" w:w="2541"/>
            <w:vAlign w:val="center"/>
            <w:tcMar>
              <w:top w:w="70" w:type="dxa"/>
              <w:start w:w="90" w:type="dxa"/>
              <w:bottom w:w="70" w:type="dxa"/>
              <w:end w:w="90" w:type="dxa"/>
            </w:tcMar>
          </w:tcPr>
          <w:p>
            <w:r>
              <w:rPr>
                <w:sz w:val="16"/>
              </w:rPr>
              <w:t>12.52%</w:t>
            </w:r>
          </w:p>
        </w:tc>
        <w:tc>
          <w:tcPr>
            <w:tcW w:type="dxa" w:w="2541"/>
            <w:vAlign w:val="center"/>
            <w:tcMar>
              <w:top w:w="70" w:type="dxa"/>
              <w:start w:w="90" w:type="dxa"/>
              <w:bottom w:w="70" w:type="dxa"/>
              <w:end w:w="90" w:type="dxa"/>
            </w:tcMar>
          </w:tcPr>
          <w:p>
            <w:r>
              <w:rPr>
                <w:sz w:val="16"/>
              </w:rPr>
              <w:t>1,840</w:t>
            </w:r>
          </w:p>
        </w:tc>
      </w:tr>
      <w:tr>
        <w:trPr>
          <w:cantSplit/>
        </w:trPr>
        <w:tc>
          <w:tcPr>
            <w:tcW w:type="dxa" w:w="2541"/>
            <w:shd w:fill="EAF2F8"/>
            <w:vAlign w:val="center"/>
            <w:tcMar>
              <w:top w:w="70" w:type="dxa"/>
              <w:start w:w="90" w:type="dxa"/>
              <w:bottom w:w="70" w:type="dxa"/>
              <w:end w:w="90" w:type="dxa"/>
            </w:tcMar>
          </w:tcPr>
          <w:p>
            <w:r>
              <w:rPr>
                <w:sz w:val="16"/>
              </w:rPr>
              <w:t>EABL</w:t>
            </w:r>
          </w:p>
        </w:tc>
        <w:tc>
          <w:tcPr>
            <w:tcW w:type="dxa" w:w="2541"/>
            <w:shd w:fill="EAF2F8"/>
            <w:vAlign w:val="center"/>
            <w:tcMar>
              <w:top w:w="70" w:type="dxa"/>
              <w:start w:w="90" w:type="dxa"/>
              <w:bottom w:w="70" w:type="dxa"/>
              <w:end w:w="90" w:type="dxa"/>
            </w:tcMar>
          </w:tcPr>
          <w:p>
            <w:r>
              <w:rPr>
                <w:sz w:val="16"/>
              </w:rPr>
              <w:t>9,794</w:t>
            </w:r>
          </w:p>
        </w:tc>
        <w:tc>
          <w:tcPr>
            <w:tcW w:type="dxa" w:w="2541"/>
            <w:shd w:fill="EAF2F8"/>
            <w:vAlign w:val="center"/>
            <w:tcMar>
              <w:top w:w="70" w:type="dxa"/>
              <w:start w:w="90" w:type="dxa"/>
              <w:bottom w:w="70" w:type="dxa"/>
              <w:end w:w="90" w:type="dxa"/>
            </w:tcMar>
          </w:tcPr>
          <w:p>
            <w:r>
              <w:rPr>
                <w:sz w:val="16"/>
              </w:rPr>
              <w:t>4.45%</w:t>
            </w:r>
          </w:p>
        </w:tc>
        <w:tc>
          <w:tcPr>
            <w:tcW w:type="dxa" w:w="2541"/>
            <w:shd w:fill="EAF2F8"/>
            <w:vAlign w:val="center"/>
            <w:tcMar>
              <w:top w:w="70" w:type="dxa"/>
              <w:start w:w="90" w:type="dxa"/>
              <w:bottom w:w="70" w:type="dxa"/>
              <w:end w:w="90" w:type="dxa"/>
            </w:tcMar>
          </w:tcPr>
          <w:p>
            <w:r>
              <w:rPr>
                <w:sz w:val="16"/>
              </w:rPr>
              <w:t>436</w:t>
            </w:r>
          </w:p>
        </w:tc>
      </w:tr>
      <w:tr>
        <w:trPr>
          <w:cantSplit/>
        </w:trPr>
        <w:tc>
          <w:tcPr>
            <w:tcW w:type="dxa" w:w="2541"/>
            <w:vAlign w:val="center"/>
            <w:tcMar>
              <w:top w:w="70" w:type="dxa"/>
              <w:start w:w="90" w:type="dxa"/>
              <w:bottom w:w="70" w:type="dxa"/>
              <w:end w:w="90" w:type="dxa"/>
            </w:tcMar>
          </w:tcPr>
          <w:p>
            <w:r>
              <w:rPr>
                <w:sz w:val="16"/>
              </w:rPr>
              <w:t>NSE PLC</w:t>
            </w:r>
          </w:p>
        </w:tc>
        <w:tc>
          <w:tcPr>
            <w:tcW w:type="dxa" w:w="2541"/>
            <w:vAlign w:val="center"/>
            <w:tcMar>
              <w:top w:w="70" w:type="dxa"/>
              <w:start w:w="90" w:type="dxa"/>
              <w:bottom w:w="70" w:type="dxa"/>
              <w:end w:w="90" w:type="dxa"/>
            </w:tcMar>
          </w:tcPr>
          <w:p>
            <w:r>
              <w:rPr>
                <w:sz w:val="16"/>
              </w:rPr>
              <w:t>9,794</w:t>
            </w:r>
          </w:p>
        </w:tc>
        <w:tc>
          <w:tcPr>
            <w:tcW w:type="dxa" w:w="2541"/>
            <w:vAlign w:val="center"/>
            <w:tcMar>
              <w:top w:w="70" w:type="dxa"/>
              <w:start w:w="90" w:type="dxa"/>
              <w:bottom w:w="70" w:type="dxa"/>
              <w:end w:w="90" w:type="dxa"/>
            </w:tcMar>
          </w:tcPr>
          <w:p>
            <w:r>
              <w:rPr>
                <w:sz w:val="16"/>
              </w:rPr>
              <w:t>3.55%</w:t>
            </w:r>
          </w:p>
        </w:tc>
        <w:tc>
          <w:tcPr>
            <w:tcW w:type="dxa" w:w="2541"/>
            <w:vAlign w:val="center"/>
            <w:tcMar>
              <w:top w:w="70" w:type="dxa"/>
              <w:start w:w="90" w:type="dxa"/>
              <w:bottom w:w="70" w:type="dxa"/>
              <w:end w:w="90" w:type="dxa"/>
            </w:tcMar>
          </w:tcPr>
          <w:p>
            <w:r>
              <w:rPr>
                <w:sz w:val="16"/>
              </w:rPr>
              <w:t>347</w:t>
            </w:r>
          </w:p>
        </w:tc>
      </w:tr>
      <w:tr>
        <w:trPr>
          <w:cantSplit/>
        </w:trPr>
        <w:tc>
          <w:tcPr>
            <w:tcW w:type="dxa" w:w="2541"/>
            <w:shd w:fill="EAF2F8"/>
            <w:vAlign w:val="center"/>
            <w:tcMar>
              <w:top w:w="70" w:type="dxa"/>
              <w:start w:w="90" w:type="dxa"/>
              <w:bottom w:w="70" w:type="dxa"/>
              <w:end w:w="90" w:type="dxa"/>
            </w:tcMar>
          </w:tcPr>
          <w:p>
            <w:r>
              <w:rPr>
                <w:sz w:val="16"/>
              </w:rPr>
              <w:t>Portfolio</w:t>
            </w:r>
          </w:p>
        </w:tc>
        <w:tc>
          <w:tcPr>
            <w:tcW w:type="dxa" w:w="2541"/>
            <w:shd w:fill="EAF2F8"/>
            <w:vAlign w:val="center"/>
            <w:tcMar>
              <w:top w:w="70" w:type="dxa"/>
              <w:start w:w="90" w:type="dxa"/>
              <w:bottom w:w="70" w:type="dxa"/>
              <w:end w:w="90" w:type="dxa"/>
            </w:tcMar>
          </w:tcPr>
          <w:p>
            <w:r>
              <w:rPr>
                <w:sz w:val="16"/>
              </w:rPr>
              <w:t>97,943</w:t>
            </w:r>
          </w:p>
        </w:tc>
        <w:tc>
          <w:tcPr>
            <w:tcW w:type="dxa" w:w="2541"/>
            <w:shd w:fill="EAF2F8"/>
            <w:vAlign w:val="center"/>
            <w:tcMar>
              <w:top w:w="70" w:type="dxa"/>
              <w:start w:w="90" w:type="dxa"/>
              <w:bottom w:w="70" w:type="dxa"/>
              <w:end w:w="90" w:type="dxa"/>
            </w:tcMar>
          </w:tcPr>
          <w:p>
            <w:r>
              <w:rPr>
                <w:sz w:val="16"/>
              </w:rPr>
              <w:t>6.94%</w:t>
            </w:r>
          </w:p>
        </w:tc>
        <w:tc>
          <w:tcPr>
            <w:tcW w:type="dxa" w:w="2541"/>
            <w:shd w:fill="EAF2F8"/>
            <w:vAlign w:val="center"/>
            <w:tcMar>
              <w:top w:w="70" w:type="dxa"/>
              <w:start w:w="90" w:type="dxa"/>
              <w:bottom w:w="70" w:type="dxa"/>
              <w:end w:w="90" w:type="dxa"/>
            </w:tcMar>
          </w:tcPr>
          <w:p>
            <w:r>
              <w:rPr>
                <w:sz w:val="16"/>
              </w:rPr>
              <w:t>6,799</w:t>
            </w:r>
          </w:p>
        </w:tc>
      </w:tr>
    </w:tbl>
    <w:p>
      <w:pPr>
        <w:pStyle w:val="Caption"/>
      </w:pPr>
      <w:r>
        <w:rPr>
          <w:i/>
        </w:rPr>
        <w:t>Table 5. Headline income estimate using recent annual distributions. NSE PLC includes a special KES 0.27 component [13]; the table is therefore a screening scenario, not a forward-income guarantee.</w:t>
      </w:r>
    </w:p>
    <w:p>
      <w:pPr>
        <w:pStyle w:val="Heading1"/>
        <w:keepNext/>
      </w:pPr>
      <w:r>
        <w:t>10. Stress Testing the Income Thesis</w:t>
      </w:r>
    </w:p>
    <w:p>
      <w:pPr>
        <w:pStyle w:val="BodyText"/>
        <w:spacing w:after="120" w:line="259" w:lineRule="auto"/>
        <w:jc w:val="both"/>
      </w:pPr>
      <w:r>
        <w:t>A dividend-growth strategy should be tested against reductions, not only repeated or increased payouts. If every dividend in the model fell by 20%, gross annual portfolio income would decline from about KES 6,799 to KES 5,439 and simplified net income after 5% withholding would fall to about KES 5,167. If dividends were unchanged, the simplified net figure is about KES 6,459. A 10% increase in aggregate distributions would raise gross income to roughly KES 7,479 and net income to approximately KES 7,105. These scenarios isolate the dividend stream; they do not include share-price movements.</w:t>
      </w:r>
    </w:p>
    <w:p>
      <w:pPr>
        <w:pStyle w:val="BodyText"/>
        <w:spacing w:after="120" w:line="259" w:lineRule="auto"/>
        <w:jc w:val="both"/>
      </w:pPr>
      <w:r>
        <w:t>That distinction is fundamental. A 6% cash yield does not protect the investor from a 20% mark-to-market fall, and a 4% yielding company can still produce superior total returns if earnings, dividends and valuation grow. The portfolio should therefore be monitored on total return and dividend sustainability rather than dividend income alone. Useful warning signals include falling earnings with a rising payout ratio, debt increasing faster than operating cash flow, repeated special dividends being treated as ordinary, deteriorating asset quality in banks, or a share price rising so quickly that the cash yield collapses despite unchanged dividends.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vAlign w:val="center"/>
            <w:tcMar>
              <w:top w:w="70" w:type="dxa"/>
              <w:start w:w="90" w:type="dxa"/>
              <w:bottom w:w="70" w:type="dxa"/>
              <w:end w:w="90" w:type="dxa"/>
            </w:tcMar>
          </w:tcPr>
          <w:p>
            <w:r>
              <w:rPr>
                <w:b/>
                <w:color w:val="FFFFFF"/>
                <w:sz w:val="17"/>
              </w:rPr>
              <w:t>Dividend scenario</w:t>
            </w:r>
          </w:p>
        </w:tc>
        <w:tc>
          <w:tcPr>
            <w:tcW w:type="dxa" w:w="2541"/>
            <w:shd w:fill="1F4E78"/>
            <w:vAlign w:val="center"/>
            <w:tcMar>
              <w:top w:w="70" w:type="dxa"/>
              <w:start w:w="90" w:type="dxa"/>
              <w:bottom w:w="70" w:type="dxa"/>
              <w:end w:w="90" w:type="dxa"/>
            </w:tcMar>
          </w:tcPr>
          <w:p>
            <w:r>
              <w:rPr>
                <w:b/>
                <w:color w:val="FFFFFF"/>
                <w:sz w:val="17"/>
              </w:rPr>
              <w:t>Gross income KES</w:t>
            </w:r>
          </w:p>
        </w:tc>
        <w:tc>
          <w:tcPr>
            <w:tcW w:type="dxa" w:w="2541"/>
            <w:shd w:fill="1F4E78"/>
            <w:vAlign w:val="center"/>
            <w:tcMar>
              <w:top w:w="70" w:type="dxa"/>
              <w:start w:w="90" w:type="dxa"/>
              <w:bottom w:w="70" w:type="dxa"/>
              <w:end w:w="90" w:type="dxa"/>
            </w:tcMar>
          </w:tcPr>
          <w:p>
            <w:r>
              <w:rPr>
                <w:b/>
                <w:color w:val="FFFFFF"/>
                <w:sz w:val="17"/>
              </w:rPr>
              <w:t>Net after 5% WHT KES</w:t>
            </w:r>
          </w:p>
        </w:tc>
        <w:tc>
          <w:tcPr>
            <w:tcW w:type="dxa" w:w="2541"/>
            <w:shd w:fill="1F4E78"/>
            <w:vAlign w:val="center"/>
            <w:tcMar>
              <w:top w:w="70" w:type="dxa"/>
              <w:start w:w="90" w:type="dxa"/>
              <w:bottom w:w="70" w:type="dxa"/>
              <w:end w:w="90" w:type="dxa"/>
            </w:tcMar>
          </w:tcPr>
          <w:p>
            <w:r>
              <w:rPr>
                <w:b/>
                <w:color w:val="FFFFFF"/>
                <w:sz w:val="17"/>
              </w:rPr>
              <w:t>Net yield on KES 100k</w:t>
            </w:r>
          </w:p>
        </w:tc>
      </w:tr>
      <w:tr>
        <w:trPr>
          <w:cantSplit/>
        </w:trPr>
        <w:tc>
          <w:tcPr>
            <w:tcW w:type="dxa" w:w="2541"/>
            <w:vAlign w:val="center"/>
            <w:tcMar>
              <w:top w:w="70" w:type="dxa"/>
              <w:start w:w="90" w:type="dxa"/>
              <w:bottom w:w="70" w:type="dxa"/>
              <w:end w:w="90" w:type="dxa"/>
            </w:tcMar>
          </w:tcPr>
          <w:p>
            <w:r>
              <w:rPr>
                <w:sz w:val="17"/>
              </w:rPr>
              <w:t>Dividends fall 20%</w:t>
            </w:r>
          </w:p>
        </w:tc>
        <w:tc>
          <w:tcPr>
            <w:tcW w:type="dxa" w:w="2541"/>
            <w:vAlign w:val="center"/>
            <w:tcMar>
              <w:top w:w="70" w:type="dxa"/>
              <w:start w:w="90" w:type="dxa"/>
              <w:bottom w:w="70" w:type="dxa"/>
              <w:end w:w="90" w:type="dxa"/>
            </w:tcMar>
          </w:tcPr>
          <w:p>
            <w:r>
              <w:rPr>
                <w:sz w:val="17"/>
              </w:rPr>
              <w:t>5,439</w:t>
            </w:r>
          </w:p>
        </w:tc>
        <w:tc>
          <w:tcPr>
            <w:tcW w:type="dxa" w:w="2541"/>
            <w:vAlign w:val="center"/>
            <w:tcMar>
              <w:top w:w="70" w:type="dxa"/>
              <w:start w:w="90" w:type="dxa"/>
              <w:bottom w:w="70" w:type="dxa"/>
              <w:end w:w="90" w:type="dxa"/>
            </w:tcMar>
          </w:tcPr>
          <w:p>
            <w:r>
              <w:rPr>
                <w:sz w:val="17"/>
              </w:rPr>
              <w:t>5,167</w:t>
            </w:r>
          </w:p>
        </w:tc>
        <w:tc>
          <w:tcPr>
            <w:tcW w:type="dxa" w:w="2541"/>
            <w:vAlign w:val="center"/>
            <w:tcMar>
              <w:top w:w="70" w:type="dxa"/>
              <w:start w:w="90" w:type="dxa"/>
              <w:bottom w:w="70" w:type="dxa"/>
              <w:end w:w="90" w:type="dxa"/>
            </w:tcMar>
          </w:tcPr>
          <w:p>
            <w:r>
              <w:rPr>
                <w:sz w:val="17"/>
              </w:rPr>
              <w:t>5.17%</w:t>
            </w:r>
          </w:p>
        </w:tc>
      </w:tr>
      <w:tr>
        <w:trPr>
          <w:cantSplit/>
        </w:trPr>
        <w:tc>
          <w:tcPr>
            <w:tcW w:type="dxa" w:w="2541"/>
            <w:shd w:fill="EAF2F8"/>
            <w:vAlign w:val="center"/>
            <w:tcMar>
              <w:top w:w="70" w:type="dxa"/>
              <w:start w:w="90" w:type="dxa"/>
              <w:bottom w:w="70" w:type="dxa"/>
              <w:end w:w="90" w:type="dxa"/>
            </w:tcMar>
          </w:tcPr>
          <w:p>
            <w:r>
              <w:rPr>
                <w:sz w:val="17"/>
              </w:rPr>
              <w:t>Recent dividends repeated</w:t>
            </w:r>
          </w:p>
        </w:tc>
        <w:tc>
          <w:tcPr>
            <w:tcW w:type="dxa" w:w="2541"/>
            <w:shd w:fill="EAF2F8"/>
            <w:vAlign w:val="center"/>
            <w:tcMar>
              <w:top w:w="70" w:type="dxa"/>
              <w:start w:w="90" w:type="dxa"/>
              <w:bottom w:w="70" w:type="dxa"/>
              <w:end w:w="90" w:type="dxa"/>
            </w:tcMar>
          </w:tcPr>
          <w:p>
            <w:r>
              <w:rPr>
                <w:sz w:val="17"/>
              </w:rPr>
              <w:t>6,799</w:t>
            </w:r>
          </w:p>
        </w:tc>
        <w:tc>
          <w:tcPr>
            <w:tcW w:type="dxa" w:w="2541"/>
            <w:shd w:fill="EAF2F8"/>
            <w:vAlign w:val="center"/>
            <w:tcMar>
              <w:top w:w="70" w:type="dxa"/>
              <w:start w:w="90" w:type="dxa"/>
              <w:bottom w:w="70" w:type="dxa"/>
              <w:end w:w="90" w:type="dxa"/>
            </w:tcMar>
          </w:tcPr>
          <w:p>
            <w:r>
              <w:rPr>
                <w:sz w:val="17"/>
              </w:rPr>
              <w:t>6,459</w:t>
            </w:r>
          </w:p>
        </w:tc>
        <w:tc>
          <w:tcPr>
            <w:tcW w:type="dxa" w:w="2541"/>
            <w:shd w:fill="EAF2F8"/>
            <w:vAlign w:val="center"/>
            <w:tcMar>
              <w:top w:w="70" w:type="dxa"/>
              <w:start w:w="90" w:type="dxa"/>
              <w:bottom w:w="70" w:type="dxa"/>
              <w:end w:w="90" w:type="dxa"/>
            </w:tcMar>
          </w:tcPr>
          <w:p>
            <w:r>
              <w:rPr>
                <w:sz w:val="17"/>
              </w:rPr>
              <w:t>6.46%</w:t>
            </w:r>
          </w:p>
        </w:tc>
      </w:tr>
      <w:tr>
        <w:trPr>
          <w:cantSplit/>
        </w:trPr>
        <w:tc>
          <w:tcPr>
            <w:tcW w:type="dxa" w:w="2541"/>
            <w:vAlign w:val="center"/>
            <w:tcMar>
              <w:top w:w="70" w:type="dxa"/>
              <w:start w:w="90" w:type="dxa"/>
              <w:bottom w:w="70" w:type="dxa"/>
              <w:end w:w="90" w:type="dxa"/>
            </w:tcMar>
          </w:tcPr>
          <w:p>
            <w:r>
              <w:rPr>
                <w:sz w:val="17"/>
              </w:rPr>
              <w:t>Dividends increase 10%</w:t>
            </w:r>
          </w:p>
        </w:tc>
        <w:tc>
          <w:tcPr>
            <w:tcW w:type="dxa" w:w="2541"/>
            <w:vAlign w:val="center"/>
            <w:tcMar>
              <w:top w:w="70" w:type="dxa"/>
              <w:start w:w="90" w:type="dxa"/>
              <w:bottom w:w="70" w:type="dxa"/>
              <w:end w:w="90" w:type="dxa"/>
            </w:tcMar>
          </w:tcPr>
          <w:p>
            <w:r>
              <w:rPr>
                <w:sz w:val="17"/>
              </w:rPr>
              <w:t>7,479</w:t>
            </w:r>
          </w:p>
        </w:tc>
        <w:tc>
          <w:tcPr>
            <w:tcW w:type="dxa" w:w="2541"/>
            <w:vAlign w:val="center"/>
            <w:tcMar>
              <w:top w:w="70" w:type="dxa"/>
              <w:start w:w="90" w:type="dxa"/>
              <w:bottom w:w="70" w:type="dxa"/>
              <w:end w:w="90" w:type="dxa"/>
            </w:tcMar>
          </w:tcPr>
          <w:p>
            <w:r>
              <w:rPr>
                <w:sz w:val="17"/>
              </w:rPr>
              <w:t>7,105</w:t>
            </w:r>
          </w:p>
        </w:tc>
        <w:tc>
          <w:tcPr>
            <w:tcW w:type="dxa" w:w="2541"/>
            <w:vAlign w:val="center"/>
            <w:tcMar>
              <w:top w:w="70" w:type="dxa"/>
              <w:start w:w="90" w:type="dxa"/>
              <w:bottom w:w="70" w:type="dxa"/>
              <w:end w:w="90" w:type="dxa"/>
            </w:tcMar>
          </w:tcPr>
          <w:p>
            <w:r>
              <w:rPr>
                <w:sz w:val="17"/>
              </w:rPr>
              <w:t>7.10%</w:t>
            </w:r>
          </w:p>
        </w:tc>
      </w:tr>
    </w:tbl>
    <w:p>
      <w:pPr>
        <w:pStyle w:val="Caption"/>
      </w:pPr>
      <w:r>
        <w:rPr>
          <w:i/>
        </w:rPr>
        <w:t>Table 6. Simplified dividend stress test. The 5% withholding assumption applies to qualifying dividends for a resident individual [5] and may not apply identically to every investor.</w:t>
      </w:r>
    </w:p>
    <w:p>
      <w:pPr>
        <w:pStyle w:val="Heading1"/>
        <w:keepNext/>
      </w:pPr>
      <w:r>
        <w:t>11. Reinvestment, Rebalancing and Long-Term Compounding</w:t>
      </w:r>
    </w:p>
    <w:p>
      <w:pPr>
        <w:pStyle w:val="BodyText"/>
        <w:spacing w:after="120" w:line="259" w:lineRule="auto"/>
        <w:jc w:val="both"/>
      </w:pPr>
      <w:r>
        <w:t>The initial KES 100,000 is best understood as seed capital. If net dividends of roughly KES 6,000–7,000 were reinvested instead of consumed, they would buy additional shares that may themselves produce future income. Compounding becomes materially stronger when dividend reinvestment is combined with fresh monthly savings after the first three-month deployment. The investor then has three engines of portfolio growth: new contributions, reinvested cash distributions and underlying corporate growth.</w:t>
      </w:r>
    </w:p>
    <w:p>
      <w:pPr>
        <w:pStyle w:val="BodyText"/>
        <w:spacing w:after="120" w:line="259" w:lineRule="auto"/>
        <w:jc w:val="both"/>
      </w:pPr>
      <w:r>
        <w:t>Reinvestment should not be automatic into the company that paid the dividend. It can be used as a rebalancing tool. If the banking positions appreciate and rise from 45% to, for example, 55% of the portfolio, future dividends and new contributions can be directed toward energy, insurance or industrial watchlist names without selling existing bank shares. This reduces turnover and avoids unnecessary transaction costs. Conversely, if a core company's investment thesis deteriorates structurally, simply reinvesting because the price has fallen would convert DCA into averaging down without a fundamental basis.</w:t>
      </w:r>
    </w:p>
    <w:p>
      <w:pPr>
        <w:pStyle w:val="BodyText"/>
        <w:spacing w:after="120" w:line="259" w:lineRule="auto"/>
        <w:jc w:val="both"/>
      </w:pPr>
      <w:r>
        <w:t>A sensible review cadence is monthly for prices and execution, quarterly or half-yearly for company results, and annually for strategic portfolio weights. The investment thesis should be changed when fundamentals or the investor's objectives change—not because a share had one weak trading week.</w:t>
      </w:r>
    </w:p>
    <w:p>
      <w:pPr>
        <w:pStyle w:val="Heading1"/>
        <w:keepNext/>
      </w:pPr>
      <w:r>
        <w:t>12. Principal Risks and Part 1 Conclusion</w:t>
      </w:r>
    </w:p>
    <w:p>
      <w:pPr>
        <w:pStyle w:val="BodyText"/>
        <w:spacing w:after="120" w:line="259" w:lineRule="auto"/>
        <w:jc w:val="both"/>
      </w:pPr>
      <w:r>
        <w:t>The portfolio contains several material risks. The 45% bank weighting creates exposure to the same interest-rate, credit-quality and regulatory cycle across multiple issuers. BAT's high yield comes with tobacco regulation and excise risk. EABL is sensitive to consumer spending, taxation and input costs. Safaricom's valuation and growth depend increasingly on data, financial services and regional execution. NSE PLC is sensitive to market turnover, listings and investor participation. In addition, the whole portfolio is Kenya-centric and denominated in Kenyan shillings, so it does not diversify country or currency risk.</w:t>
      </w:r>
    </w:p>
    <w:p>
      <w:pPr>
        <w:pStyle w:val="BodyText"/>
        <w:spacing w:after="120" w:line="259" w:lineRule="auto"/>
        <w:jc w:val="both"/>
      </w:pPr>
      <w:r>
        <w:t>Within those limits, the construction is coherent for a KES 100,000 starter dividend-growth allocation. It reserves transaction costs, uses seven liquid or strategically differentiated companies, caps the largest position at 20%, and stages capital over three months. The reference portfolio's 6.94% headline gross yield is attractive but should never be interpreted as guaranteed. The real objective is a durable total-return process: own profitable businesses, distinguish recurring from special payouts, reinvest selectively, diversify future contributions away from the largest existing sector, and keep the execution rules simple enough to follow through both rallies and corrections.</w:t>
      </w:r>
    </w:p>
    <w:p>
      <w:pPr>
        <w:pStyle w:val="BodyText"/>
        <w:spacing w:after="120" w:line="259" w:lineRule="auto"/>
        <w:jc w:val="both"/>
      </w:pPr>
      <w:r>
        <w:t>Valuation discipline remains necessary even inside a DCA programme. A predetermined purchase date does not require purchasing a security whose investment thesis has materially changed or whose valuation has become detached from a reasonable earnings and dividend outlook. DCA is a method of staging capital, not a rule against judgment. Before each tranche, the investor should perform a short exception review: confirm that no profit warning, dividend cancellation, major regulatory event, governance problem or balance-sheet deterioration has invalidated the original thesis. If the thesis remains intact, the scheduled purchase proceeds. If a material event has changed the expected cash flows, the allocation can remain temporarily in cash while the company is reassessed. This distinction prevents systematic investing from becoming mechanical averaging into a deteriorating business.</w:t>
      </w:r>
    </w:p>
    <w:p>
      <w:pPr>
        <w:pStyle w:val="BodyText"/>
        <w:spacing w:after="120" w:line="259" w:lineRule="auto"/>
        <w:jc w:val="both"/>
      </w:pPr>
      <w:r>
        <w:t>Opportunity cost should also be recognized. Equity capital competes with Kenyan money-market funds, Treasury bills, bank deposits and the investor's own business opportunities. A dividend yield of 6% is not automatically attractive merely because it is positive; the relevant comparison is the expected total return after risk, tax, fees and the possibility of capital loss. Shares earn their place in the portfolio when the combination of sustainable dividend income and prospective earnings growth provides adequate compensation for volatility and uncertainty. For this reason, the model should not be read as an instruction to liquidate emergency savings or short-term operating cash. Capital needed within the next few months should remain in instruments whose liquidity and principal stability match that liability rather than being exposed to equity-market timing.</w:t>
      </w:r>
    </w:p>
    <w:p>
      <w:pPr>
        <w:pStyle w:val="BodyText"/>
        <w:spacing w:after="120" w:line="259" w:lineRule="auto"/>
        <w:jc w:val="both"/>
      </w:pPr>
      <w:r>
        <w:t>Finally, portfolio governance matters as much as initial selection. Maintain a simple investment journal showing each purchase date, live price, number of shares, transaction charges, target weight, actual weight and the reason the position still qualifies for ownership. Record ordinary and special dividends separately so that one-off distributions do not inflate the expected income rate. At each half-year or full-year results cycle, update earnings, dividend cover, leverage or bank asset-quality indicators, and any material strategic developments. These records create a feedback loop: future tranches and dividend reinvestment become evidence-based decisions rather than reactions to headlines. Over several years, that process is more valuable than attempting to forecast the exact market level three months ahead.</w:t>
      </w:r>
    </w:p>
    <w:p>
      <w:pPr>
        <w:spacing w:before="600" w:after="480"/>
        <w:jc w:val="center"/>
      </w:pPr>
      <w:r>
        <w:rPr>
          <w:b/>
          <w:color w:val="16324F"/>
          <w:sz w:val="42"/>
        </w:rPr>
        <w:t>PART 2</w:t>
        <w:br/>
        <w:t>DETAILED NSE WATCHLIST</w:t>
      </w:r>
    </w:p>
    <w:p>
      <w:pPr>
        <w:pStyle w:val="Heading1"/>
        <w:keepNext/>
      </w:pPr>
      <w:r>
        <w:t>13. Part 2 — Purpose of the Watchlist</w:t>
      </w:r>
    </w:p>
    <w:p>
      <w:pPr>
        <w:pStyle w:val="BodyText"/>
        <w:spacing w:after="120" w:line="259" w:lineRule="auto"/>
        <w:jc w:val="both"/>
      </w:pPr>
      <w:r>
        <w:t>A watchlist is not a second portfolio. It is a decision pipeline. Its purpose is to identify companies that could improve diversification, replace a weakening core holding, or become attractive after a valuation or business-quality change. This distinction is especially important after constructing the seven-stock core because adding every appealing dividend payer would quickly undermine the original architecture. The core already holds three banks; therefore KCB, Stanbic, NCBA, I&amp;M, Absa and DTB should primarily be compared against the existing bank positions rather than all being bought at once.</w:t>
      </w:r>
    </w:p>
    <w:p>
      <w:pPr>
        <w:pStyle w:val="BodyText"/>
        <w:spacing w:after="120" w:line="259" w:lineRule="auto"/>
        <w:jc w:val="both"/>
      </w:pPr>
      <w:r>
        <w:t>The 15-counter watchlist below is organized into three functional groups. The first group contains diversification candidates—energy, insurance, industrial and agriculture businesses whose cash flows are meaningfully different from the core. The second contains banking alternatives and potential replacements. The third contains higher-risk/value opportunities where the headline yield or recent price performance needs additional caution. Every yield uses the 9 September 2026 reference price from the same market list [1] and a stated dividend basis. The result is a comparable research snapshot rather than a collection of numbers gathered on different dates.</w:t>
      </w:r>
    </w:p>
    <w:p>
      <w:pPr>
        <w:pStyle w:val="BodyText"/>
        <w:spacing w:after="120" w:line="259" w:lineRule="auto"/>
        <w:jc w:val="both"/>
      </w:pPr>
      <w:r>
        <w:t>The status labels are research labels, not personalized buy or sell recommendations. 'High-priority diversifier' means the company fills an obvious portfolio gap and merits deeper valuation work. 'Bank alternative' means the stock should be evaluated against an existing bank rather than added automatically. 'Wait' signals that price momentum, concentration or uncertainty makes patience more important than immediate entry. 'Speculative' indicates that the dividend or valuation thesis has a material fragility that should be resolved before capital is committed.</w:t>
      </w:r>
    </w:p>
    <w:p>
      <w:pPr>
        <w:pStyle w:val="Heading1"/>
        <w:keepNext/>
      </w:pPr>
      <w:r>
        <w:t>14. Master Watchlist Snapshot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52"/>
            <w:shd w:fill="1F4E78"/>
            <w:vAlign w:val="center"/>
            <w:tcMar>
              <w:top w:w="70" w:type="dxa"/>
              <w:start w:w="90" w:type="dxa"/>
              <w:bottom w:w="70" w:type="dxa"/>
              <w:end w:w="90" w:type="dxa"/>
            </w:tcMar>
          </w:tcPr>
          <w:p>
            <w:r>
              <w:rPr>
                <w:b/>
                <w:color w:val="FFFFFF"/>
                <w:sz w:val="14"/>
              </w:rPr>
              <w:t>Stock</w:t>
            </w:r>
          </w:p>
        </w:tc>
        <w:tc>
          <w:tcPr>
            <w:tcW w:type="dxa" w:w="1452"/>
            <w:shd w:fill="1F4E78"/>
            <w:vAlign w:val="center"/>
            <w:tcMar>
              <w:top w:w="70" w:type="dxa"/>
              <w:start w:w="90" w:type="dxa"/>
              <w:bottom w:w="70" w:type="dxa"/>
              <w:end w:w="90" w:type="dxa"/>
            </w:tcMar>
          </w:tcPr>
          <w:p>
            <w:r>
              <w:rPr>
                <w:b/>
                <w:color w:val="FFFFFF"/>
                <w:sz w:val="14"/>
              </w:rPr>
              <w:t>Sector</w:t>
            </w:r>
          </w:p>
        </w:tc>
        <w:tc>
          <w:tcPr>
            <w:tcW w:type="dxa" w:w="1452"/>
            <w:shd w:fill="1F4E78"/>
            <w:vAlign w:val="center"/>
            <w:tcMar>
              <w:top w:w="70" w:type="dxa"/>
              <w:start w:w="90" w:type="dxa"/>
              <w:bottom w:w="70" w:type="dxa"/>
              <w:end w:w="90" w:type="dxa"/>
            </w:tcMar>
          </w:tcPr>
          <w:p>
            <w:r>
              <w:rPr>
                <w:b/>
                <w:color w:val="FFFFFF"/>
                <w:sz w:val="14"/>
              </w:rPr>
              <w:t>Price KES</w:t>
            </w:r>
          </w:p>
        </w:tc>
        <w:tc>
          <w:tcPr>
            <w:tcW w:type="dxa" w:w="1452"/>
            <w:shd w:fill="1F4E78"/>
            <w:vAlign w:val="center"/>
            <w:tcMar>
              <w:top w:w="70" w:type="dxa"/>
              <w:start w:w="90" w:type="dxa"/>
              <w:bottom w:w="70" w:type="dxa"/>
              <w:end w:w="90" w:type="dxa"/>
            </w:tcMar>
          </w:tcPr>
          <w:p>
            <w:r>
              <w:rPr>
                <w:b/>
                <w:color w:val="FFFFFF"/>
                <w:sz w:val="14"/>
              </w:rPr>
              <w:t>Recent dividend basis</w:t>
            </w:r>
          </w:p>
        </w:tc>
        <w:tc>
          <w:tcPr>
            <w:tcW w:type="dxa" w:w="1452"/>
            <w:shd w:fill="1F4E78"/>
            <w:vAlign w:val="center"/>
            <w:tcMar>
              <w:top w:w="70" w:type="dxa"/>
              <w:start w:w="90" w:type="dxa"/>
              <w:bottom w:w="70" w:type="dxa"/>
              <w:end w:w="90" w:type="dxa"/>
            </w:tcMar>
          </w:tcPr>
          <w:p>
            <w:r>
              <w:rPr>
                <w:b/>
                <w:color w:val="FFFFFF"/>
                <w:sz w:val="14"/>
              </w:rPr>
              <w:t>Indicative yield</w:t>
            </w:r>
          </w:p>
        </w:tc>
        <w:tc>
          <w:tcPr>
            <w:tcW w:type="dxa" w:w="1452"/>
            <w:shd w:fill="1F4E78"/>
            <w:vAlign w:val="center"/>
            <w:tcMar>
              <w:top w:w="70" w:type="dxa"/>
              <w:start w:w="90" w:type="dxa"/>
              <w:bottom w:w="70" w:type="dxa"/>
              <w:end w:w="90" w:type="dxa"/>
            </w:tcMar>
          </w:tcPr>
          <w:p>
            <w:r>
              <w:rPr>
                <w:b/>
                <w:color w:val="FFFFFF"/>
                <w:sz w:val="14"/>
              </w:rPr>
              <w:t>9 Sep. volume</w:t>
            </w:r>
          </w:p>
        </w:tc>
        <w:tc>
          <w:tcPr>
            <w:tcW w:type="dxa" w:w="1452"/>
            <w:shd w:fill="1F4E78"/>
            <w:vAlign w:val="center"/>
            <w:tcMar>
              <w:top w:w="70" w:type="dxa"/>
              <w:start w:w="90" w:type="dxa"/>
              <w:bottom w:w="70" w:type="dxa"/>
              <w:end w:w="90" w:type="dxa"/>
            </w:tcMar>
          </w:tcPr>
          <w:p>
            <w:r>
              <w:rPr>
                <w:b/>
                <w:color w:val="FFFFFF"/>
                <w:sz w:val="14"/>
              </w:rPr>
              <w:t>Research status</w:t>
            </w:r>
          </w:p>
        </w:tc>
      </w:tr>
      <w:tr>
        <w:trPr>
          <w:cantSplit/>
        </w:trPr>
        <w:tc>
          <w:tcPr>
            <w:tcW w:type="dxa" w:w="1452"/>
            <w:vAlign w:val="center"/>
            <w:tcMar>
              <w:top w:w="70" w:type="dxa"/>
              <w:start w:w="90" w:type="dxa"/>
              <w:bottom w:w="70" w:type="dxa"/>
              <w:end w:w="90" w:type="dxa"/>
            </w:tcMar>
          </w:tcPr>
          <w:p>
            <w:r>
              <w:rPr>
                <w:sz w:val="14"/>
              </w:rPr>
              <w:t>KenGen (KEGN)</w:t>
            </w:r>
          </w:p>
        </w:tc>
        <w:tc>
          <w:tcPr>
            <w:tcW w:type="dxa" w:w="1452"/>
            <w:vAlign w:val="center"/>
            <w:tcMar>
              <w:top w:w="70" w:type="dxa"/>
              <w:start w:w="90" w:type="dxa"/>
              <w:bottom w:w="70" w:type="dxa"/>
              <w:end w:w="90" w:type="dxa"/>
            </w:tcMar>
          </w:tcPr>
          <w:p>
            <w:r>
              <w:rPr>
                <w:sz w:val="14"/>
              </w:rPr>
              <w:t>Energy generation</w:t>
            </w:r>
          </w:p>
        </w:tc>
        <w:tc>
          <w:tcPr>
            <w:tcW w:type="dxa" w:w="1452"/>
            <w:vAlign w:val="center"/>
            <w:tcMar>
              <w:top w:w="70" w:type="dxa"/>
              <w:start w:w="90" w:type="dxa"/>
              <w:bottom w:w="70" w:type="dxa"/>
              <w:end w:w="90" w:type="dxa"/>
            </w:tcMar>
          </w:tcPr>
          <w:p>
            <w:r>
              <w:rPr>
                <w:sz w:val="14"/>
              </w:rPr>
              <w:t>10.85</w:t>
            </w:r>
          </w:p>
        </w:tc>
        <w:tc>
          <w:tcPr>
            <w:tcW w:type="dxa" w:w="1452"/>
            <w:vAlign w:val="center"/>
            <w:tcMar>
              <w:top w:w="70" w:type="dxa"/>
              <w:start w:w="90" w:type="dxa"/>
              <w:bottom w:w="70" w:type="dxa"/>
              <w:end w:w="90" w:type="dxa"/>
            </w:tcMar>
          </w:tcPr>
          <w:p>
            <w:r>
              <w:rPr>
                <w:sz w:val="14"/>
              </w:rPr>
              <w:t>FY2026 recommended</w:t>
            </w:r>
          </w:p>
        </w:tc>
        <w:tc>
          <w:tcPr>
            <w:tcW w:type="dxa" w:w="1452"/>
            <w:vAlign w:val="center"/>
            <w:tcMar>
              <w:top w:w="70" w:type="dxa"/>
              <w:start w:w="90" w:type="dxa"/>
              <w:bottom w:w="70" w:type="dxa"/>
              <w:end w:w="90" w:type="dxa"/>
            </w:tcMar>
          </w:tcPr>
          <w:p>
            <w:r>
              <w:rPr>
                <w:sz w:val="14"/>
              </w:rPr>
              <w:t>6.91%</w:t>
            </w:r>
          </w:p>
        </w:tc>
        <w:tc>
          <w:tcPr>
            <w:tcW w:type="dxa" w:w="1452"/>
            <w:vAlign w:val="center"/>
            <w:tcMar>
              <w:top w:w="70" w:type="dxa"/>
              <w:start w:w="90" w:type="dxa"/>
              <w:bottom w:w="70" w:type="dxa"/>
              <w:end w:w="90" w:type="dxa"/>
            </w:tcMar>
          </w:tcPr>
          <w:p>
            <w:r>
              <w:rPr>
                <w:sz w:val="14"/>
              </w:rPr>
              <w:t>2.42M</w:t>
            </w:r>
          </w:p>
        </w:tc>
        <w:tc>
          <w:tcPr>
            <w:tcW w:type="dxa" w:w="1452"/>
            <w:vAlign w:val="center"/>
            <w:tcMar>
              <w:top w:w="70" w:type="dxa"/>
              <w:start w:w="90" w:type="dxa"/>
              <w:bottom w:w="70" w:type="dxa"/>
              <w:end w:w="90" w:type="dxa"/>
            </w:tcMar>
          </w:tcPr>
          <w:p>
            <w:r>
              <w:rPr>
                <w:sz w:val="14"/>
              </w:rPr>
              <w:t>High-priority diversifier</w:t>
            </w:r>
          </w:p>
        </w:tc>
      </w:tr>
      <w:tr>
        <w:trPr>
          <w:cantSplit/>
        </w:trPr>
        <w:tc>
          <w:tcPr>
            <w:tcW w:type="dxa" w:w="1452"/>
            <w:shd w:fill="EAF2F8"/>
            <w:vAlign w:val="center"/>
            <w:tcMar>
              <w:top w:w="70" w:type="dxa"/>
              <w:start w:w="90" w:type="dxa"/>
              <w:bottom w:w="70" w:type="dxa"/>
              <w:end w:w="90" w:type="dxa"/>
            </w:tcMar>
          </w:tcPr>
          <w:p>
            <w:r>
              <w:rPr>
                <w:sz w:val="14"/>
              </w:rPr>
              <w:t>KCB Group (KCB)</w:t>
            </w:r>
          </w:p>
        </w:tc>
        <w:tc>
          <w:tcPr>
            <w:tcW w:type="dxa" w:w="1452"/>
            <w:shd w:fill="EAF2F8"/>
            <w:vAlign w:val="center"/>
            <w:tcMar>
              <w:top w:w="70" w:type="dxa"/>
              <w:start w:w="90" w:type="dxa"/>
              <w:bottom w:w="70" w:type="dxa"/>
              <w:end w:w="90" w:type="dxa"/>
            </w:tcMar>
          </w:tcPr>
          <w:p>
            <w:r>
              <w:rPr>
                <w:sz w:val="14"/>
              </w:rPr>
              <w:t>Banking</w:t>
            </w:r>
          </w:p>
        </w:tc>
        <w:tc>
          <w:tcPr>
            <w:tcW w:type="dxa" w:w="1452"/>
            <w:shd w:fill="EAF2F8"/>
            <w:vAlign w:val="center"/>
            <w:tcMar>
              <w:top w:w="70" w:type="dxa"/>
              <w:start w:w="90" w:type="dxa"/>
              <w:bottom w:w="70" w:type="dxa"/>
              <w:end w:w="90" w:type="dxa"/>
            </w:tcMar>
          </w:tcPr>
          <w:p>
            <w:r>
              <w:rPr>
                <w:sz w:val="14"/>
              </w:rPr>
              <w:t>94.25</w:t>
            </w:r>
          </w:p>
        </w:tc>
        <w:tc>
          <w:tcPr>
            <w:tcW w:type="dxa" w:w="1452"/>
            <w:shd w:fill="EAF2F8"/>
            <w:vAlign w:val="center"/>
            <w:tcMar>
              <w:top w:w="70" w:type="dxa"/>
              <w:start w:w="90" w:type="dxa"/>
              <w:bottom w:w="70" w:type="dxa"/>
              <w:end w:w="90" w:type="dxa"/>
            </w:tcMar>
          </w:tcPr>
          <w:p>
            <w:r>
              <w:rPr>
                <w:sz w:val="14"/>
              </w:rPr>
              <w:t>FY2025 headline; KES 3 special</w:t>
            </w:r>
          </w:p>
        </w:tc>
        <w:tc>
          <w:tcPr>
            <w:tcW w:type="dxa" w:w="1452"/>
            <w:shd w:fill="EAF2F8"/>
            <w:vAlign w:val="center"/>
            <w:tcMar>
              <w:top w:w="70" w:type="dxa"/>
              <w:start w:w="90" w:type="dxa"/>
              <w:bottom w:w="70" w:type="dxa"/>
              <w:end w:w="90" w:type="dxa"/>
            </w:tcMar>
          </w:tcPr>
          <w:p>
            <w:r>
              <w:rPr>
                <w:sz w:val="14"/>
              </w:rPr>
              <w:t>7.43% headline / 4.24% ordinary</w:t>
            </w:r>
          </w:p>
        </w:tc>
        <w:tc>
          <w:tcPr>
            <w:tcW w:type="dxa" w:w="1452"/>
            <w:shd w:fill="EAF2F8"/>
            <w:vAlign w:val="center"/>
            <w:tcMar>
              <w:top w:w="70" w:type="dxa"/>
              <w:start w:w="90" w:type="dxa"/>
              <w:bottom w:w="70" w:type="dxa"/>
              <w:end w:w="90" w:type="dxa"/>
            </w:tcMar>
          </w:tcPr>
          <w:p>
            <w:r>
              <w:rPr>
                <w:sz w:val="14"/>
              </w:rPr>
              <w:t>1.43M</w:t>
            </w:r>
          </w:p>
        </w:tc>
        <w:tc>
          <w:tcPr>
            <w:tcW w:type="dxa" w:w="1452"/>
            <w:shd w:fill="EAF2F8"/>
            <w:vAlign w:val="center"/>
            <w:tcMar>
              <w:top w:w="70" w:type="dxa"/>
              <w:start w:w="90" w:type="dxa"/>
              <w:bottom w:w="70" w:type="dxa"/>
              <w:end w:w="90" w:type="dxa"/>
            </w:tcMar>
          </w:tcPr>
          <w:p>
            <w:r>
              <w:rPr>
                <w:sz w:val="14"/>
              </w:rPr>
              <w:t>Bank replacement / wait for valuation</w:t>
            </w:r>
          </w:p>
        </w:tc>
      </w:tr>
      <w:tr>
        <w:trPr>
          <w:cantSplit/>
        </w:trPr>
        <w:tc>
          <w:tcPr>
            <w:tcW w:type="dxa" w:w="1452"/>
            <w:vAlign w:val="center"/>
            <w:tcMar>
              <w:top w:w="70" w:type="dxa"/>
              <w:start w:w="90" w:type="dxa"/>
              <w:bottom w:w="70" w:type="dxa"/>
              <w:end w:w="90" w:type="dxa"/>
            </w:tcMar>
          </w:tcPr>
          <w:p>
            <w:r>
              <w:rPr>
                <w:sz w:val="14"/>
              </w:rPr>
              <w:t>Stanbic Holdings (SBIC)</w:t>
            </w:r>
          </w:p>
        </w:tc>
        <w:tc>
          <w:tcPr>
            <w:tcW w:type="dxa" w:w="1452"/>
            <w:vAlign w:val="center"/>
            <w:tcMar>
              <w:top w:w="70" w:type="dxa"/>
              <w:start w:w="90" w:type="dxa"/>
              <w:bottom w:w="70" w:type="dxa"/>
              <w:end w:w="90" w:type="dxa"/>
            </w:tcMar>
          </w:tcPr>
          <w:p>
            <w:r>
              <w:rPr>
                <w:sz w:val="14"/>
              </w:rPr>
              <w:t>Banking</w:t>
            </w:r>
          </w:p>
        </w:tc>
        <w:tc>
          <w:tcPr>
            <w:tcW w:type="dxa" w:w="1452"/>
            <w:vAlign w:val="center"/>
            <w:tcMar>
              <w:top w:w="70" w:type="dxa"/>
              <w:start w:w="90" w:type="dxa"/>
              <w:bottom w:w="70" w:type="dxa"/>
              <w:end w:w="90" w:type="dxa"/>
            </w:tcMar>
          </w:tcPr>
          <w:p>
            <w:r>
              <w:rPr>
                <w:sz w:val="14"/>
              </w:rPr>
              <w:t>294.50</w:t>
            </w:r>
          </w:p>
        </w:tc>
        <w:tc>
          <w:tcPr>
            <w:tcW w:type="dxa" w:w="1452"/>
            <w:vAlign w:val="center"/>
            <w:tcMar>
              <w:top w:w="70" w:type="dxa"/>
              <w:start w:w="90" w:type="dxa"/>
              <w:bottom w:w="70" w:type="dxa"/>
              <w:end w:w="90" w:type="dxa"/>
            </w:tcMar>
          </w:tcPr>
          <w:p>
            <w:r>
              <w:rPr>
                <w:sz w:val="14"/>
              </w:rPr>
              <w:t>FY2025 total</w:t>
            </w:r>
          </w:p>
        </w:tc>
        <w:tc>
          <w:tcPr>
            <w:tcW w:type="dxa" w:w="1452"/>
            <w:vAlign w:val="center"/>
            <w:tcMar>
              <w:top w:w="70" w:type="dxa"/>
              <w:start w:w="90" w:type="dxa"/>
              <w:bottom w:w="70" w:type="dxa"/>
              <w:end w:w="90" w:type="dxa"/>
            </w:tcMar>
          </w:tcPr>
          <w:p>
            <w:r>
              <w:rPr>
                <w:sz w:val="14"/>
              </w:rPr>
              <w:t>7.59%</w:t>
            </w:r>
          </w:p>
        </w:tc>
        <w:tc>
          <w:tcPr>
            <w:tcW w:type="dxa" w:w="1452"/>
            <w:vAlign w:val="center"/>
            <w:tcMar>
              <w:top w:w="70" w:type="dxa"/>
              <w:start w:w="90" w:type="dxa"/>
              <w:bottom w:w="70" w:type="dxa"/>
              <w:end w:w="90" w:type="dxa"/>
            </w:tcMar>
          </w:tcPr>
          <w:p>
            <w:r>
              <w:rPr>
                <w:sz w:val="14"/>
              </w:rPr>
              <w:t>225,455</w:t>
            </w:r>
          </w:p>
        </w:tc>
        <w:tc>
          <w:tcPr>
            <w:tcW w:type="dxa" w:w="1452"/>
            <w:vAlign w:val="center"/>
            <w:tcMar>
              <w:top w:w="70" w:type="dxa"/>
              <w:start w:w="90" w:type="dxa"/>
              <w:bottom w:w="70" w:type="dxa"/>
              <w:end w:w="90" w:type="dxa"/>
            </w:tcMar>
          </w:tcPr>
          <w:p>
            <w:r>
              <w:rPr>
                <w:sz w:val="14"/>
              </w:rPr>
              <w:t>High-income bank alternative</w:t>
            </w:r>
          </w:p>
        </w:tc>
      </w:tr>
      <w:tr>
        <w:trPr>
          <w:cantSplit/>
        </w:trPr>
        <w:tc>
          <w:tcPr>
            <w:tcW w:type="dxa" w:w="1452"/>
            <w:shd w:fill="EAF2F8"/>
            <w:vAlign w:val="center"/>
            <w:tcMar>
              <w:top w:w="70" w:type="dxa"/>
              <w:start w:w="90" w:type="dxa"/>
              <w:bottom w:w="70" w:type="dxa"/>
              <w:end w:w="90" w:type="dxa"/>
            </w:tcMar>
          </w:tcPr>
          <w:p>
            <w:r>
              <w:rPr>
                <w:sz w:val="14"/>
              </w:rPr>
              <w:t>TotalEnergies Marketing Kenya (TOTL)</w:t>
            </w:r>
          </w:p>
        </w:tc>
        <w:tc>
          <w:tcPr>
            <w:tcW w:type="dxa" w:w="1452"/>
            <w:shd w:fill="EAF2F8"/>
            <w:vAlign w:val="center"/>
            <w:tcMar>
              <w:top w:w="70" w:type="dxa"/>
              <w:start w:w="90" w:type="dxa"/>
              <w:bottom w:w="70" w:type="dxa"/>
              <w:end w:w="90" w:type="dxa"/>
            </w:tcMar>
          </w:tcPr>
          <w:p>
            <w:r>
              <w:rPr>
                <w:sz w:val="14"/>
              </w:rPr>
              <w:t>Energy distribution</w:t>
            </w:r>
          </w:p>
        </w:tc>
        <w:tc>
          <w:tcPr>
            <w:tcW w:type="dxa" w:w="1452"/>
            <w:shd w:fill="EAF2F8"/>
            <w:vAlign w:val="center"/>
            <w:tcMar>
              <w:top w:w="70" w:type="dxa"/>
              <w:start w:w="90" w:type="dxa"/>
              <w:bottom w:w="70" w:type="dxa"/>
              <w:end w:w="90" w:type="dxa"/>
            </w:tcMar>
          </w:tcPr>
          <w:p>
            <w:r>
              <w:rPr>
                <w:sz w:val="14"/>
              </w:rPr>
              <w:t>49.65</w:t>
            </w:r>
          </w:p>
        </w:tc>
        <w:tc>
          <w:tcPr>
            <w:tcW w:type="dxa" w:w="1452"/>
            <w:shd w:fill="EAF2F8"/>
            <w:vAlign w:val="center"/>
            <w:tcMar>
              <w:top w:w="70" w:type="dxa"/>
              <w:start w:w="90" w:type="dxa"/>
              <w:bottom w:w="70" w:type="dxa"/>
              <w:end w:w="90" w:type="dxa"/>
            </w:tcMar>
          </w:tcPr>
          <w:p>
            <w:r>
              <w:rPr>
                <w:sz w:val="14"/>
              </w:rPr>
              <w:t>FY2025 final/annual basis</w:t>
            </w:r>
          </w:p>
        </w:tc>
        <w:tc>
          <w:tcPr>
            <w:tcW w:type="dxa" w:w="1452"/>
            <w:shd w:fill="EAF2F8"/>
            <w:vAlign w:val="center"/>
            <w:tcMar>
              <w:top w:w="70" w:type="dxa"/>
              <w:start w:w="90" w:type="dxa"/>
              <w:bottom w:w="70" w:type="dxa"/>
              <w:end w:w="90" w:type="dxa"/>
            </w:tcMar>
          </w:tcPr>
          <w:p>
            <w:r>
              <w:rPr>
                <w:sz w:val="14"/>
              </w:rPr>
              <w:t>6.95%</w:t>
            </w:r>
          </w:p>
        </w:tc>
        <w:tc>
          <w:tcPr>
            <w:tcW w:type="dxa" w:w="1452"/>
            <w:shd w:fill="EAF2F8"/>
            <w:vAlign w:val="center"/>
            <w:tcMar>
              <w:top w:w="70" w:type="dxa"/>
              <w:start w:w="90" w:type="dxa"/>
              <w:bottom w:w="70" w:type="dxa"/>
              <w:end w:w="90" w:type="dxa"/>
            </w:tcMar>
          </w:tcPr>
          <w:p>
            <w:r>
              <w:rPr>
                <w:sz w:val="14"/>
              </w:rPr>
              <w:t>20,069</w:t>
            </w:r>
          </w:p>
        </w:tc>
        <w:tc>
          <w:tcPr>
            <w:tcW w:type="dxa" w:w="1452"/>
            <w:shd w:fill="EAF2F8"/>
            <w:vAlign w:val="center"/>
            <w:tcMar>
              <w:top w:w="70" w:type="dxa"/>
              <w:start w:w="90" w:type="dxa"/>
              <w:bottom w:w="70" w:type="dxa"/>
              <w:end w:w="90" w:type="dxa"/>
            </w:tcMar>
          </w:tcPr>
          <w:p>
            <w:r>
              <w:rPr>
                <w:sz w:val="14"/>
              </w:rPr>
              <w:t>High-priority diversifier</w:t>
            </w:r>
          </w:p>
        </w:tc>
      </w:tr>
      <w:tr>
        <w:trPr>
          <w:cantSplit/>
        </w:trPr>
        <w:tc>
          <w:tcPr>
            <w:tcW w:type="dxa" w:w="1452"/>
            <w:vAlign w:val="center"/>
            <w:tcMar>
              <w:top w:w="70" w:type="dxa"/>
              <w:start w:w="90" w:type="dxa"/>
              <w:bottom w:w="70" w:type="dxa"/>
              <w:end w:w="90" w:type="dxa"/>
            </w:tcMar>
          </w:tcPr>
          <w:p>
            <w:r>
              <w:rPr>
                <w:sz w:val="14"/>
              </w:rPr>
              <w:t>Jubilee Holdings (JUB)</w:t>
            </w:r>
          </w:p>
        </w:tc>
        <w:tc>
          <w:tcPr>
            <w:tcW w:type="dxa" w:w="1452"/>
            <w:vAlign w:val="center"/>
            <w:tcMar>
              <w:top w:w="70" w:type="dxa"/>
              <w:start w:w="90" w:type="dxa"/>
              <w:bottom w:w="70" w:type="dxa"/>
              <w:end w:w="90" w:type="dxa"/>
            </w:tcMar>
          </w:tcPr>
          <w:p>
            <w:r>
              <w:rPr>
                <w:sz w:val="14"/>
              </w:rPr>
              <w:t>Insurance</w:t>
            </w:r>
          </w:p>
        </w:tc>
        <w:tc>
          <w:tcPr>
            <w:tcW w:type="dxa" w:w="1452"/>
            <w:vAlign w:val="center"/>
            <w:tcMar>
              <w:top w:w="70" w:type="dxa"/>
              <w:start w:w="90" w:type="dxa"/>
              <w:bottom w:w="70" w:type="dxa"/>
              <w:end w:w="90" w:type="dxa"/>
            </w:tcMar>
          </w:tcPr>
          <w:p>
            <w:r>
              <w:rPr>
                <w:sz w:val="14"/>
              </w:rPr>
              <w:t>412.25</w:t>
            </w:r>
          </w:p>
        </w:tc>
        <w:tc>
          <w:tcPr>
            <w:tcW w:type="dxa" w:w="1452"/>
            <w:vAlign w:val="center"/>
            <w:tcMar>
              <w:top w:w="70" w:type="dxa"/>
              <w:start w:w="90" w:type="dxa"/>
              <w:bottom w:w="70" w:type="dxa"/>
              <w:end w:w="90" w:type="dxa"/>
            </w:tcMar>
          </w:tcPr>
          <w:p>
            <w:r>
              <w:rPr>
                <w:sz w:val="14"/>
              </w:rPr>
              <w:t>FY2025 ordinary</w:t>
            </w:r>
          </w:p>
        </w:tc>
        <w:tc>
          <w:tcPr>
            <w:tcW w:type="dxa" w:w="1452"/>
            <w:vAlign w:val="center"/>
            <w:tcMar>
              <w:top w:w="70" w:type="dxa"/>
              <w:start w:w="90" w:type="dxa"/>
              <w:bottom w:w="70" w:type="dxa"/>
              <w:end w:w="90" w:type="dxa"/>
            </w:tcMar>
          </w:tcPr>
          <w:p>
            <w:r>
              <w:rPr>
                <w:sz w:val="14"/>
              </w:rPr>
              <w:t>3.64%</w:t>
            </w:r>
          </w:p>
        </w:tc>
        <w:tc>
          <w:tcPr>
            <w:tcW w:type="dxa" w:w="1452"/>
            <w:vAlign w:val="center"/>
            <w:tcMar>
              <w:top w:w="70" w:type="dxa"/>
              <w:start w:w="90" w:type="dxa"/>
              <w:bottom w:w="70" w:type="dxa"/>
              <w:end w:w="90" w:type="dxa"/>
            </w:tcMar>
          </w:tcPr>
          <w:p>
            <w:r>
              <w:rPr>
                <w:sz w:val="14"/>
              </w:rPr>
              <w:t>15,484</w:t>
            </w:r>
          </w:p>
        </w:tc>
        <w:tc>
          <w:tcPr>
            <w:tcW w:type="dxa" w:w="1452"/>
            <w:vAlign w:val="center"/>
            <w:tcMar>
              <w:top w:w="70" w:type="dxa"/>
              <w:start w:w="90" w:type="dxa"/>
              <w:bottom w:w="70" w:type="dxa"/>
              <w:end w:w="90" w:type="dxa"/>
            </w:tcMar>
          </w:tcPr>
          <w:p>
            <w:r>
              <w:rPr>
                <w:sz w:val="14"/>
              </w:rPr>
              <w:t>High-priority diversifier</w:t>
            </w:r>
          </w:p>
        </w:tc>
      </w:tr>
      <w:tr>
        <w:trPr>
          <w:cantSplit/>
        </w:trPr>
        <w:tc>
          <w:tcPr>
            <w:tcW w:type="dxa" w:w="1452"/>
            <w:shd w:fill="EAF2F8"/>
            <w:vAlign w:val="center"/>
            <w:tcMar>
              <w:top w:w="70" w:type="dxa"/>
              <w:start w:w="90" w:type="dxa"/>
              <w:bottom w:w="70" w:type="dxa"/>
              <w:end w:w="90" w:type="dxa"/>
            </w:tcMar>
          </w:tcPr>
          <w:p>
            <w:r>
              <w:rPr>
                <w:sz w:val="14"/>
              </w:rPr>
              <w:t>NCBA Group (NCBA)</w:t>
            </w:r>
          </w:p>
        </w:tc>
        <w:tc>
          <w:tcPr>
            <w:tcW w:type="dxa" w:w="1452"/>
            <w:shd w:fill="EAF2F8"/>
            <w:vAlign w:val="center"/>
            <w:tcMar>
              <w:top w:w="70" w:type="dxa"/>
              <w:start w:w="90" w:type="dxa"/>
              <w:bottom w:w="70" w:type="dxa"/>
              <w:end w:w="90" w:type="dxa"/>
            </w:tcMar>
          </w:tcPr>
          <w:p>
            <w:r>
              <w:rPr>
                <w:sz w:val="14"/>
              </w:rPr>
              <w:t>Banking</w:t>
            </w:r>
          </w:p>
        </w:tc>
        <w:tc>
          <w:tcPr>
            <w:tcW w:type="dxa" w:w="1452"/>
            <w:shd w:fill="EAF2F8"/>
            <w:vAlign w:val="center"/>
            <w:tcMar>
              <w:top w:w="70" w:type="dxa"/>
              <w:start w:w="90" w:type="dxa"/>
              <w:bottom w:w="70" w:type="dxa"/>
              <w:end w:w="90" w:type="dxa"/>
            </w:tcMar>
          </w:tcPr>
          <w:p>
            <w:r>
              <w:rPr>
                <w:sz w:val="14"/>
              </w:rPr>
              <w:t>90.75</w:t>
            </w:r>
          </w:p>
        </w:tc>
        <w:tc>
          <w:tcPr>
            <w:tcW w:type="dxa" w:w="1452"/>
            <w:shd w:fill="EAF2F8"/>
            <w:vAlign w:val="center"/>
            <w:tcMar>
              <w:top w:w="70" w:type="dxa"/>
              <w:start w:w="90" w:type="dxa"/>
              <w:bottom w:w="70" w:type="dxa"/>
              <w:end w:w="90" w:type="dxa"/>
            </w:tcMar>
          </w:tcPr>
          <w:p>
            <w:r>
              <w:rPr>
                <w:sz w:val="14"/>
              </w:rPr>
              <w:t>FY2025 total</w:t>
            </w:r>
          </w:p>
        </w:tc>
        <w:tc>
          <w:tcPr>
            <w:tcW w:type="dxa" w:w="1452"/>
            <w:shd w:fill="EAF2F8"/>
            <w:vAlign w:val="center"/>
            <w:tcMar>
              <w:top w:w="70" w:type="dxa"/>
              <w:start w:w="90" w:type="dxa"/>
              <w:bottom w:w="70" w:type="dxa"/>
              <w:end w:w="90" w:type="dxa"/>
            </w:tcMar>
          </w:tcPr>
          <w:p>
            <w:r>
              <w:rPr>
                <w:sz w:val="14"/>
              </w:rPr>
              <w:t>7.82%</w:t>
            </w:r>
          </w:p>
        </w:tc>
        <w:tc>
          <w:tcPr>
            <w:tcW w:type="dxa" w:w="1452"/>
            <w:shd w:fill="EAF2F8"/>
            <w:vAlign w:val="center"/>
            <w:tcMar>
              <w:top w:w="70" w:type="dxa"/>
              <w:start w:w="90" w:type="dxa"/>
              <w:bottom w:w="70" w:type="dxa"/>
              <w:end w:w="90" w:type="dxa"/>
            </w:tcMar>
          </w:tcPr>
          <w:p>
            <w:r>
              <w:rPr>
                <w:sz w:val="14"/>
              </w:rPr>
              <w:t>39,437</w:t>
            </w:r>
          </w:p>
        </w:tc>
        <w:tc>
          <w:tcPr>
            <w:tcW w:type="dxa" w:w="1452"/>
            <w:shd w:fill="EAF2F8"/>
            <w:vAlign w:val="center"/>
            <w:tcMar>
              <w:top w:w="70" w:type="dxa"/>
              <w:start w:w="90" w:type="dxa"/>
              <w:bottom w:w="70" w:type="dxa"/>
              <w:end w:w="90" w:type="dxa"/>
            </w:tcMar>
          </w:tcPr>
          <w:p>
            <w:r>
              <w:rPr>
                <w:sz w:val="14"/>
              </w:rPr>
              <w:t>Bank alternative / event watch</w:t>
            </w:r>
          </w:p>
        </w:tc>
      </w:tr>
      <w:tr>
        <w:trPr>
          <w:cantSplit/>
        </w:trPr>
        <w:tc>
          <w:tcPr>
            <w:tcW w:type="dxa" w:w="1452"/>
            <w:vAlign w:val="center"/>
            <w:tcMar>
              <w:top w:w="70" w:type="dxa"/>
              <w:start w:w="90" w:type="dxa"/>
              <w:bottom w:w="70" w:type="dxa"/>
              <w:end w:w="90" w:type="dxa"/>
            </w:tcMar>
          </w:tcPr>
          <w:p>
            <w:r>
              <w:rPr>
                <w:sz w:val="14"/>
              </w:rPr>
              <w:t>BOC Kenya (BOC)</w:t>
            </w:r>
          </w:p>
        </w:tc>
        <w:tc>
          <w:tcPr>
            <w:tcW w:type="dxa" w:w="1452"/>
            <w:vAlign w:val="center"/>
            <w:tcMar>
              <w:top w:w="70" w:type="dxa"/>
              <w:start w:w="90" w:type="dxa"/>
              <w:bottom w:w="70" w:type="dxa"/>
              <w:end w:w="90" w:type="dxa"/>
            </w:tcMar>
          </w:tcPr>
          <w:p>
            <w:r>
              <w:rPr>
                <w:sz w:val="14"/>
              </w:rPr>
              <w:t>Industrial gases</w:t>
            </w:r>
          </w:p>
        </w:tc>
        <w:tc>
          <w:tcPr>
            <w:tcW w:type="dxa" w:w="1452"/>
            <w:vAlign w:val="center"/>
            <w:tcMar>
              <w:top w:w="70" w:type="dxa"/>
              <w:start w:w="90" w:type="dxa"/>
              <w:bottom w:w="70" w:type="dxa"/>
              <w:end w:w="90" w:type="dxa"/>
            </w:tcMar>
          </w:tcPr>
          <w:p>
            <w:r>
              <w:rPr>
                <w:sz w:val="14"/>
              </w:rPr>
              <w:t>198.00</w:t>
            </w:r>
          </w:p>
        </w:tc>
        <w:tc>
          <w:tcPr>
            <w:tcW w:type="dxa" w:w="1452"/>
            <w:vAlign w:val="center"/>
            <w:tcMar>
              <w:top w:w="70" w:type="dxa"/>
              <w:start w:w="90" w:type="dxa"/>
              <w:bottom w:w="70" w:type="dxa"/>
              <w:end w:w="90" w:type="dxa"/>
            </w:tcMar>
          </w:tcPr>
          <w:p>
            <w:r>
              <w:rPr>
                <w:sz w:val="14"/>
              </w:rPr>
              <w:t>FY2025 total: 2.50 interim + 10.35 final</w:t>
            </w:r>
          </w:p>
        </w:tc>
        <w:tc>
          <w:tcPr>
            <w:tcW w:type="dxa" w:w="1452"/>
            <w:vAlign w:val="center"/>
            <w:tcMar>
              <w:top w:w="70" w:type="dxa"/>
              <w:start w:w="90" w:type="dxa"/>
              <w:bottom w:w="70" w:type="dxa"/>
              <w:end w:w="90" w:type="dxa"/>
            </w:tcMar>
          </w:tcPr>
          <w:p>
            <w:r>
              <w:rPr>
                <w:sz w:val="14"/>
              </w:rPr>
              <w:t>6.49%</w:t>
            </w:r>
          </w:p>
        </w:tc>
        <w:tc>
          <w:tcPr>
            <w:tcW w:type="dxa" w:w="1452"/>
            <w:vAlign w:val="center"/>
            <w:tcMar>
              <w:top w:w="70" w:type="dxa"/>
              <w:start w:w="90" w:type="dxa"/>
              <w:bottom w:w="70" w:type="dxa"/>
              <w:end w:w="90" w:type="dxa"/>
            </w:tcMar>
          </w:tcPr>
          <w:p>
            <w:r>
              <w:rPr>
                <w:sz w:val="14"/>
              </w:rPr>
              <w:t>2,839</w:t>
            </w:r>
          </w:p>
        </w:tc>
        <w:tc>
          <w:tcPr>
            <w:tcW w:type="dxa" w:w="1452"/>
            <w:vAlign w:val="center"/>
            <w:tcMar>
              <w:top w:w="70" w:type="dxa"/>
              <w:start w:w="90" w:type="dxa"/>
              <w:bottom w:w="70" w:type="dxa"/>
              <w:end w:w="90" w:type="dxa"/>
            </w:tcMar>
          </w:tcPr>
          <w:p>
            <w:r>
              <w:rPr>
                <w:sz w:val="14"/>
              </w:rPr>
              <w:t>Diversifier, but liquidity-constrained</w:t>
            </w:r>
          </w:p>
        </w:tc>
      </w:tr>
      <w:tr>
        <w:trPr>
          <w:cantSplit/>
        </w:trPr>
        <w:tc>
          <w:tcPr>
            <w:tcW w:type="dxa" w:w="1452"/>
            <w:shd w:fill="EAF2F8"/>
            <w:vAlign w:val="center"/>
            <w:tcMar>
              <w:top w:w="70" w:type="dxa"/>
              <w:start w:w="90" w:type="dxa"/>
              <w:bottom w:w="70" w:type="dxa"/>
              <w:end w:w="90" w:type="dxa"/>
            </w:tcMar>
          </w:tcPr>
          <w:p>
            <w:r>
              <w:rPr>
                <w:sz w:val="14"/>
              </w:rPr>
              <w:t>Kenya Power (KPLC)</w:t>
            </w:r>
          </w:p>
        </w:tc>
        <w:tc>
          <w:tcPr>
            <w:tcW w:type="dxa" w:w="1452"/>
            <w:shd w:fill="EAF2F8"/>
            <w:vAlign w:val="center"/>
            <w:tcMar>
              <w:top w:w="70" w:type="dxa"/>
              <w:start w:w="90" w:type="dxa"/>
              <w:bottom w:w="70" w:type="dxa"/>
              <w:end w:w="90" w:type="dxa"/>
            </w:tcMar>
          </w:tcPr>
          <w:p>
            <w:r>
              <w:rPr>
                <w:sz w:val="14"/>
              </w:rPr>
              <w:t>Electric utility</w:t>
            </w:r>
          </w:p>
        </w:tc>
        <w:tc>
          <w:tcPr>
            <w:tcW w:type="dxa" w:w="1452"/>
            <w:shd w:fill="EAF2F8"/>
            <w:vAlign w:val="center"/>
            <w:tcMar>
              <w:top w:w="70" w:type="dxa"/>
              <w:start w:w="90" w:type="dxa"/>
              <w:bottom w:w="70" w:type="dxa"/>
              <w:end w:w="90" w:type="dxa"/>
            </w:tcMar>
          </w:tcPr>
          <w:p>
            <w:r>
              <w:rPr>
                <w:sz w:val="14"/>
              </w:rPr>
              <w:t>21.45</w:t>
            </w:r>
          </w:p>
        </w:tc>
        <w:tc>
          <w:tcPr>
            <w:tcW w:type="dxa" w:w="1452"/>
            <w:shd w:fill="EAF2F8"/>
            <w:vAlign w:val="center"/>
            <w:tcMar>
              <w:top w:w="70" w:type="dxa"/>
              <w:start w:w="90" w:type="dxa"/>
              <w:bottom w:w="70" w:type="dxa"/>
              <w:end w:w="90" w:type="dxa"/>
            </w:tcMar>
          </w:tcPr>
          <w:p>
            <w:r>
              <w:rPr>
                <w:sz w:val="14"/>
              </w:rPr>
              <w:t>FY2025 total</w:t>
            </w:r>
          </w:p>
        </w:tc>
        <w:tc>
          <w:tcPr>
            <w:tcW w:type="dxa" w:w="1452"/>
            <w:shd w:fill="EAF2F8"/>
            <w:vAlign w:val="center"/>
            <w:tcMar>
              <w:top w:w="70" w:type="dxa"/>
              <w:start w:w="90" w:type="dxa"/>
              <w:bottom w:w="70" w:type="dxa"/>
              <w:end w:w="90" w:type="dxa"/>
            </w:tcMar>
          </w:tcPr>
          <w:p>
            <w:r>
              <w:rPr>
                <w:sz w:val="14"/>
              </w:rPr>
              <w:t>4.66%</w:t>
            </w:r>
          </w:p>
        </w:tc>
        <w:tc>
          <w:tcPr>
            <w:tcW w:type="dxa" w:w="1452"/>
            <w:shd w:fill="EAF2F8"/>
            <w:vAlign w:val="center"/>
            <w:tcMar>
              <w:top w:w="70" w:type="dxa"/>
              <w:start w:w="90" w:type="dxa"/>
              <w:bottom w:w="70" w:type="dxa"/>
              <w:end w:w="90" w:type="dxa"/>
            </w:tcMar>
          </w:tcPr>
          <w:p>
            <w:r>
              <w:rPr>
                <w:sz w:val="14"/>
              </w:rPr>
              <w:t>3.08M</w:t>
            </w:r>
          </w:p>
        </w:tc>
        <w:tc>
          <w:tcPr>
            <w:tcW w:type="dxa" w:w="1452"/>
            <w:shd w:fill="EAF2F8"/>
            <w:vAlign w:val="center"/>
            <w:tcMar>
              <w:top w:w="70" w:type="dxa"/>
              <w:start w:w="90" w:type="dxa"/>
              <w:bottom w:w="70" w:type="dxa"/>
              <w:end w:w="90" w:type="dxa"/>
            </w:tcMar>
          </w:tcPr>
          <w:p>
            <w:r>
              <w:rPr>
                <w:sz w:val="14"/>
              </w:rPr>
              <w:t>Turnaround/value watch</w:t>
            </w:r>
          </w:p>
        </w:tc>
      </w:tr>
      <w:tr>
        <w:trPr>
          <w:cantSplit/>
        </w:trPr>
        <w:tc>
          <w:tcPr>
            <w:tcW w:type="dxa" w:w="1452"/>
            <w:vAlign w:val="center"/>
            <w:tcMar>
              <w:top w:w="70" w:type="dxa"/>
              <w:start w:w="90" w:type="dxa"/>
              <w:bottom w:w="70" w:type="dxa"/>
              <w:end w:w="90" w:type="dxa"/>
            </w:tcMar>
          </w:tcPr>
          <w:p>
            <w:r>
              <w:rPr>
                <w:sz w:val="14"/>
              </w:rPr>
              <w:t>Kakuzi (KUKZ)</w:t>
            </w:r>
          </w:p>
        </w:tc>
        <w:tc>
          <w:tcPr>
            <w:tcW w:type="dxa" w:w="1452"/>
            <w:vAlign w:val="center"/>
            <w:tcMar>
              <w:top w:w="70" w:type="dxa"/>
              <w:start w:w="90" w:type="dxa"/>
              <w:bottom w:w="70" w:type="dxa"/>
              <w:end w:w="90" w:type="dxa"/>
            </w:tcMar>
          </w:tcPr>
          <w:p>
            <w:r>
              <w:rPr>
                <w:sz w:val="14"/>
              </w:rPr>
              <w:t>Agriculture/export</w:t>
            </w:r>
          </w:p>
        </w:tc>
        <w:tc>
          <w:tcPr>
            <w:tcW w:type="dxa" w:w="1452"/>
            <w:vAlign w:val="center"/>
            <w:tcMar>
              <w:top w:w="70" w:type="dxa"/>
              <w:start w:w="90" w:type="dxa"/>
              <w:bottom w:w="70" w:type="dxa"/>
              <w:end w:w="90" w:type="dxa"/>
            </w:tcMar>
          </w:tcPr>
          <w:p>
            <w:r>
              <w:rPr>
                <w:sz w:val="14"/>
              </w:rPr>
              <w:t>438.25</w:t>
            </w:r>
          </w:p>
        </w:tc>
        <w:tc>
          <w:tcPr>
            <w:tcW w:type="dxa" w:w="1452"/>
            <w:vAlign w:val="center"/>
            <w:tcMar>
              <w:top w:w="70" w:type="dxa"/>
              <w:start w:w="90" w:type="dxa"/>
              <w:bottom w:w="70" w:type="dxa"/>
              <w:end w:w="90" w:type="dxa"/>
            </w:tcMar>
          </w:tcPr>
          <w:p>
            <w:r>
              <w:rPr>
                <w:sz w:val="14"/>
              </w:rPr>
              <w:t>FY2025 first/final</w:t>
            </w:r>
          </w:p>
        </w:tc>
        <w:tc>
          <w:tcPr>
            <w:tcW w:type="dxa" w:w="1452"/>
            <w:vAlign w:val="center"/>
            <w:tcMar>
              <w:top w:w="70" w:type="dxa"/>
              <w:start w:w="90" w:type="dxa"/>
              <w:bottom w:w="70" w:type="dxa"/>
              <w:end w:w="90" w:type="dxa"/>
            </w:tcMar>
          </w:tcPr>
          <w:p>
            <w:r>
              <w:rPr>
                <w:sz w:val="14"/>
              </w:rPr>
              <w:t>3.65%</w:t>
            </w:r>
          </w:p>
        </w:tc>
        <w:tc>
          <w:tcPr>
            <w:tcW w:type="dxa" w:w="1452"/>
            <w:vAlign w:val="center"/>
            <w:tcMar>
              <w:top w:w="70" w:type="dxa"/>
              <w:start w:w="90" w:type="dxa"/>
              <w:bottom w:w="70" w:type="dxa"/>
              <w:end w:w="90" w:type="dxa"/>
            </w:tcMar>
          </w:tcPr>
          <w:p>
            <w:r>
              <w:rPr>
                <w:sz w:val="14"/>
              </w:rPr>
              <w:t>1,683</w:t>
            </w:r>
          </w:p>
        </w:tc>
        <w:tc>
          <w:tcPr>
            <w:tcW w:type="dxa" w:w="1452"/>
            <w:vAlign w:val="center"/>
            <w:tcMar>
              <w:top w:w="70" w:type="dxa"/>
              <w:start w:w="90" w:type="dxa"/>
              <w:bottom w:w="70" w:type="dxa"/>
              <w:end w:w="90" w:type="dxa"/>
            </w:tcMar>
          </w:tcPr>
          <w:p>
            <w:r>
              <w:rPr>
                <w:sz w:val="14"/>
              </w:rPr>
              <w:t>Diversifier, selective entry</w:t>
            </w:r>
          </w:p>
        </w:tc>
      </w:tr>
      <w:tr>
        <w:trPr>
          <w:cantSplit/>
        </w:trPr>
        <w:tc>
          <w:tcPr>
            <w:tcW w:type="dxa" w:w="1452"/>
            <w:shd w:fill="EAF2F8"/>
            <w:vAlign w:val="center"/>
            <w:tcMar>
              <w:top w:w="70" w:type="dxa"/>
              <w:start w:w="90" w:type="dxa"/>
              <w:bottom w:w="70" w:type="dxa"/>
              <w:end w:w="90" w:type="dxa"/>
            </w:tcMar>
          </w:tcPr>
          <w:p>
            <w:r>
              <w:rPr>
                <w:sz w:val="14"/>
              </w:rPr>
              <w:t>Williamson Tea Kenya (WTK)</w:t>
            </w:r>
          </w:p>
        </w:tc>
        <w:tc>
          <w:tcPr>
            <w:tcW w:type="dxa" w:w="1452"/>
            <w:shd w:fill="EAF2F8"/>
            <w:vAlign w:val="center"/>
            <w:tcMar>
              <w:top w:w="70" w:type="dxa"/>
              <w:start w:w="90" w:type="dxa"/>
              <w:bottom w:w="70" w:type="dxa"/>
              <w:end w:w="90" w:type="dxa"/>
            </w:tcMar>
          </w:tcPr>
          <w:p>
            <w:r>
              <w:rPr>
                <w:sz w:val="14"/>
              </w:rPr>
              <w:t>Agriculture/tea</w:t>
            </w:r>
          </w:p>
        </w:tc>
        <w:tc>
          <w:tcPr>
            <w:tcW w:type="dxa" w:w="1452"/>
            <w:shd w:fill="EAF2F8"/>
            <w:vAlign w:val="center"/>
            <w:tcMar>
              <w:top w:w="70" w:type="dxa"/>
              <w:start w:w="90" w:type="dxa"/>
              <w:bottom w:w="70" w:type="dxa"/>
              <w:end w:w="90" w:type="dxa"/>
            </w:tcMar>
          </w:tcPr>
          <w:p>
            <w:r>
              <w:rPr>
                <w:sz w:val="14"/>
              </w:rPr>
              <w:t>159.00</w:t>
            </w:r>
          </w:p>
        </w:tc>
        <w:tc>
          <w:tcPr>
            <w:tcW w:type="dxa" w:w="1452"/>
            <w:shd w:fill="EAF2F8"/>
            <w:vAlign w:val="center"/>
            <w:tcMar>
              <w:top w:w="70" w:type="dxa"/>
              <w:start w:w="90" w:type="dxa"/>
              <w:bottom w:w="70" w:type="dxa"/>
              <w:end w:w="90" w:type="dxa"/>
            </w:tcMar>
          </w:tcPr>
          <w:p>
            <w:r>
              <w:rPr>
                <w:sz w:val="14"/>
              </w:rPr>
              <w:t>FY ended Mar. 2026</w:t>
            </w:r>
          </w:p>
        </w:tc>
        <w:tc>
          <w:tcPr>
            <w:tcW w:type="dxa" w:w="1452"/>
            <w:shd w:fill="EAF2F8"/>
            <w:vAlign w:val="center"/>
            <w:tcMar>
              <w:top w:w="70" w:type="dxa"/>
              <w:start w:w="90" w:type="dxa"/>
              <w:bottom w:w="70" w:type="dxa"/>
              <w:end w:w="90" w:type="dxa"/>
            </w:tcMar>
          </w:tcPr>
          <w:p>
            <w:r>
              <w:rPr>
                <w:sz w:val="14"/>
              </w:rPr>
              <w:t>9.43%</w:t>
            </w:r>
          </w:p>
        </w:tc>
        <w:tc>
          <w:tcPr>
            <w:tcW w:type="dxa" w:w="1452"/>
            <w:shd w:fill="EAF2F8"/>
            <w:vAlign w:val="center"/>
            <w:tcMar>
              <w:top w:w="70" w:type="dxa"/>
              <w:start w:w="90" w:type="dxa"/>
              <w:bottom w:w="70" w:type="dxa"/>
              <w:end w:w="90" w:type="dxa"/>
            </w:tcMar>
          </w:tcPr>
          <w:p>
            <w:r>
              <w:rPr>
                <w:sz w:val="14"/>
              </w:rPr>
              <w:t>14,856</w:t>
            </w:r>
          </w:p>
        </w:tc>
        <w:tc>
          <w:tcPr>
            <w:tcW w:type="dxa" w:w="1452"/>
            <w:shd w:fill="EAF2F8"/>
            <w:vAlign w:val="center"/>
            <w:tcMar>
              <w:top w:w="70" w:type="dxa"/>
              <w:start w:w="90" w:type="dxa"/>
              <w:bottom w:w="70" w:type="dxa"/>
              <w:end w:w="90" w:type="dxa"/>
            </w:tcMar>
          </w:tcPr>
          <w:p>
            <w:r>
              <w:rPr>
                <w:sz w:val="14"/>
              </w:rPr>
              <w:t>Speculative income watch</w:t>
            </w:r>
          </w:p>
        </w:tc>
      </w:tr>
      <w:tr>
        <w:trPr>
          <w:cantSplit/>
        </w:trPr>
        <w:tc>
          <w:tcPr>
            <w:tcW w:type="dxa" w:w="1452"/>
            <w:vAlign w:val="center"/>
            <w:tcMar>
              <w:top w:w="70" w:type="dxa"/>
              <w:start w:w="90" w:type="dxa"/>
              <w:bottom w:w="70" w:type="dxa"/>
              <w:end w:w="90" w:type="dxa"/>
            </w:tcMar>
          </w:tcPr>
          <w:p>
            <w:r>
              <w:rPr>
                <w:sz w:val="14"/>
              </w:rPr>
              <w:t>I&amp;M Group (IMH)</w:t>
            </w:r>
          </w:p>
        </w:tc>
        <w:tc>
          <w:tcPr>
            <w:tcW w:type="dxa" w:w="1452"/>
            <w:vAlign w:val="center"/>
            <w:tcMar>
              <w:top w:w="70" w:type="dxa"/>
              <w:start w:w="90" w:type="dxa"/>
              <w:bottom w:w="70" w:type="dxa"/>
              <w:end w:w="90" w:type="dxa"/>
            </w:tcMar>
          </w:tcPr>
          <w:p>
            <w:r>
              <w:rPr>
                <w:sz w:val="14"/>
              </w:rPr>
              <w:t>Banking</w:t>
            </w:r>
          </w:p>
        </w:tc>
        <w:tc>
          <w:tcPr>
            <w:tcW w:type="dxa" w:w="1452"/>
            <w:vAlign w:val="center"/>
            <w:tcMar>
              <w:top w:w="70" w:type="dxa"/>
              <w:start w:w="90" w:type="dxa"/>
              <w:bottom w:w="70" w:type="dxa"/>
              <w:end w:w="90" w:type="dxa"/>
            </w:tcMar>
          </w:tcPr>
          <w:p>
            <w:r>
              <w:rPr>
                <w:sz w:val="14"/>
              </w:rPr>
              <w:t>80.25</w:t>
            </w:r>
          </w:p>
        </w:tc>
        <w:tc>
          <w:tcPr>
            <w:tcW w:type="dxa" w:w="1452"/>
            <w:vAlign w:val="center"/>
            <w:tcMar>
              <w:top w:w="70" w:type="dxa"/>
              <w:start w:w="90" w:type="dxa"/>
              <w:bottom w:w="70" w:type="dxa"/>
              <w:end w:w="90" w:type="dxa"/>
            </w:tcMar>
          </w:tcPr>
          <w:p>
            <w:r>
              <w:rPr>
                <w:sz w:val="14"/>
              </w:rPr>
              <w:t>FY2025 total</w:t>
            </w:r>
          </w:p>
        </w:tc>
        <w:tc>
          <w:tcPr>
            <w:tcW w:type="dxa" w:w="1452"/>
            <w:vAlign w:val="center"/>
            <w:tcMar>
              <w:top w:w="70" w:type="dxa"/>
              <w:start w:w="90" w:type="dxa"/>
              <w:bottom w:w="70" w:type="dxa"/>
              <w:end w:w="90" w:type="dxa"/>
            </w:tcMar>
          </w:tcPr>
          <w:p>
            <w:r>
              <w:rPr>
                <w:sz w:val="14"/>
              </w:rPr>
              <w:t>4.67%</w:t>
            </w:r>
          </w:p>
        </w:tc>
        <w:tc>
          <w:tcPr>
            <w:tcW w:type="dxa" w:w="1452"/>
            <w:vAlign w:val="center"/>
            <w:tcMar>
              <w:top w:w="70" w:type="dxa"/>
              <w:start w:w="90" w:type="dxa"/>
              <w:bottom w:w="70" w:type="dxa"/>
              <w:end w:w="90" w:type="dxa"/>
            </w:tcMar>
          </w:tcPr>
          <w:p>
            <w:r>
              <w:rPr>
                <w:sz w:val="14"/>
              </w:rPr>
              <w:t>228,119</w:t>
            </w:r>
          </w:p>
        </w:tc>
        <w:tc>
          <w:tcPr>
            <w:tcW w:type="dxa" w:w="1452"/>
            <w:vAlign w:val="center"/>
            <w:tcMar>
              <w:top w:w="70" w:type="dxa"/>
              <w:start w:w="90" w:type="dxa"/>
              <w:bottom w:w="70" w:type="dxa"/>
              <w:end w:w="90" w:type="dxa"/>
            </w:tcMar>
          </w:tcPr>
          <w:p>
            <w:r>
              <w:rPr>
                <w:sz w:val="14"/>
              </w:rPr>
              <w:t>Growth-bank alternative</w:t>
            </w:r>
          </w:p>
        </w:tc>
      </w:tr>
      <w:tr>
        <w:trPr>
          <w:cantSplit/>
        </w:trPr>
        <w:tc>
          <w:tcPr>
            <w:tcW w:type="dxa" w:w="1452"/>
            <w:shd w:fill="EAF2F8"/>
            <w:vAlign w:val="center"/>
            <w:tcMar>
              <w:top w:w="70" w:type="dxa"/>
              <w:start w:w="90" w:type="dxa"/>
              <w:bottom w:w="70" w:type="dxa"/>
              <w:end w:w="90" w:type="dxa"/>
            </w:tcMar>
          </w:tcPr>
          <w:p>
            <w:r>
              <w:rPr>
                <w:sz w:val="14"/>
              </w:rPr>
              <w:t>Absa Bank Kenya (ABSA)</w:t>
            </w:r>
          </w:p>
        </w:tc>
        <w:tc>
          <w:tcPr>
            <w:tcW w:type="dxa" w:w="1452"/>
            <w:shd w:fill="EAF2F8"/>
            <w:vAlign w:val="center"/>
            <w:tcMar>
              <w:top w:w="70" w:type="dxa"/>
              <w:start w:w="90" w:type="dxa"/>
              <w:bottom w:w="70" w:type="dxa"/>
              <w:end w:w="90" w:type="dxa"/>
            </w:tcMar>
          </w:tcPr>
          <w:p>
            <w:r>
              <w:rPr>
                <w:sz w:val="14"/>
              </w:rPr>
              <w:t>Banking</w:t>
            </w:r>
          </w:p>
        </w:tc>
        <w:tc>
          <w:tcPr>
            <w:tcW w:type="dxa" w:w="1452"/>
            <w:shd w:fill="EAF2F8"/>
            <w:vAlign w:val="center"/>
            <w:tcMar>
              <w:top w:w="70" w:type="dxa"/>
              <w:start w:w="90" w:type="dxa"/>
              <w:bottom w:w="70" w:type="dxa"/>
              <w:end w:w="90" w:type="dxa"/>
            </w:tcMar>
          </w:tcPr>
          <w:p>
            <w:r>
              <w:rPr>
                <w:sz w:val="14"/>
              </w:rPr>
              <w:t>34.00</w:t>
            </w:r>
          </w:p>
        </w:tc>
        <w:tc>
          <w:tcPr>
            <w:tcW w:type="dxa" w:w="1452"/>
            <w:shd w:fill="EAF2F8"/>
            <w:vAlign w:val="center"/>
            <w:tcMar>
              <w:top w:w="70" w:type="dxa"/>
              <w:start w:w="90" w:type="dxa"/>
              <w:bottom w:w="70" w:type="dxa"/>
              <w:end w:w="90" w:type="dxa"/>
            </w:tcMar>
          </w:tcPr>
          <w:p>
            <w:r>
              <w:rPr>
                <w:sz w:val="14"/>
              </w:rPr>
              <w:t>FY2025 total</w:t>
            </w:r>
          </w:p>
        </w:tc>
        <w:tc>
          <w:tcPr>
            <w:tcW w:type="dxa" w:w="1452"/>
            <w:shd w:fill="EAF2F8"/>
            <w:vAlign w:val="center"/>
            <w:tcMar>
              <w:top w:w="70" w:type="dxa"/>
              <w:start w:w="90" w:type="dxa"/>
              <w:bottom w:w="70" w:type="dxa"/>
              <w:end w:w="90" w:type="dxa"/>
            </w:tcMar>
          </w:tcPr>
          <w:p>
            <w:r>
              <w:rPr>
                <w:sz w:val="14"/>
              </w:rPr>
              <w:t>6.03%</w:t>
            </w:r>
          </w:p>
        </w:tc>
        <w:tc>
          <w:tcPr>
            <w:tcW w:type="dxa" w:w="1452"/>
            <w:shd w:fill="EAF2F8"/>
            <w:vAlign w:val="center"/>
            <w:tcMar>
              <w:top w:w="70" w:type="dxa"/>
              <w:start w:w="90" w:type="dxa"/>
              <w:bottom w:w="70" w:type="dxa"/>
              <w:end w:w="90" w:type="dxa"/>
            </w:tcMar>
          </w:tcPr>
          <w:p>
            <w:r>
              <w:rPr>
                <w:sz w:val="14"/>
              </w:rPr>
              <w:t>203,211</w:t>
            </w:r>
          </w:p>
        </w:tc>
        <w:tc>
          <w:tcPr>
            <w:tcW w:type="dxa" w:w="1452"/>
            <w:shd w:fill="EAF2F8"/>
            <w:vAlign w:val="center"/>
            <w:tcMar>
              <w:top w:w="70" w:type="dxa"/>
              <w:start w:w="90" w:type="dxa"/>
              <w:bottom w:w="70" w:type="dxa"/>
              <w:end w:w="90" w:type="dxa"/>
            </w:tcMar>
          </w:tcPr>
          <w:p>
            <w:r>
              <w:rPr>
                <w:sz w:val="14"/>
              </w:rPr>
              <w:t>Income-bank alternative</w:t>
            </w:r>
          </w:p>
        </w:tc>
      </w:tr>
      <w:tr>
        <w:trPr>
          <w:cantSplit/>
        </w:trPr>
        <w:tc>
          <w:tcPr>
            <w:tcW w:type="dxa" w:w="1452"/>
            <w:vAlign w:val="center"/>
            <w:tcMar>
              <w:top w:w="70" w:type="dxa"/>
              <w:start w:w="90" w:type="dxa"/>
              <w:bottom w:w="70" w:type="dxa"/>
              <w:end w:w="90" w:type="dxa"/>
            </w:tcMar>
          </w:tcPr>
          <w:p>
            <w:r>
              <w:rPr>
                <w:sz w:val="14"/>
              </w:rPr>
              <w:t>Car &amp; General (CGEN)</w:t>
            </w:r>
          </w:p>
        </w:tc>
        <w:tc>
          <w:tcPr>
            <w:tcW w:type="dxa" w:w="1452"/>
            <w:vAlign w:val="center"/>
            <w:tcMar>
              <w:top w:w="70" w:type="dxa"/>
              <w:start w:w="90" w:type="dxa"/>
              <w:bottom w:w="70" w:type="dxa"/>
              <w:end w:w="90" w:type="dxa"/>
            </w:tcMar>
          </w:tcPr>
          <w:p>
            <w:r>
              <w:rPr>
                <w:sz w:val="14"/>
              </w:rPr>
              <w:t>Automotive/industrial distribution</w:t>
            </w:r>
          </w:p>
        </w:tc>
        <w:tc>
          <w:tcPr>
            <w:tcW w:type="dxa" w:w="1452"/>
            <w:vAlign w:val="center"/>
            <w:tcMar>
              <w:top w:w="70" w:type="dxa"/>
              <w:start w:w="90" w:type="dxa"/>
              <w:bottom w:w="70" w:type="dxa"/>
              <w:end w:w="90" w:type="dxa"/>
            </w:tcMar>
          </w:tcPr>
          <w:p>
            <w:r>
              <w:rPr>
                <w:sz w:val="14"/>
              </w:rPr>
              <w:t>281.00</w:t>
            </w:r>
          </w:p>
        </w:tc>
        <w:tc>
          <w:tcPr>
            <w:tcW w:type="dxa" w:w="1452"/>
            <w:vAlign w:val="center"/>
            <w:tcMar>
              <w:top w:w="70" w:type="dxa"/>
              <w:start w:w="90" w:type="dxa"/>
              <w:bottom w:w="70" w:type="dxa"/>
              <w:end w:w="90" w:type="dxa"/>
            </w:tcMar>
          </w:tcPr>
          <w:p>
            <w:r>
              <w:rPr>
                <w:sz w:val="14"/>
              </w:rPr>
              <w:t>FY2025 total</w:t>
            </w:r>
          </w:p>
        </w:tc>
        <w:tc>
          <w:tcPr>
            <w:tcW w:type="dxa" w:w="1452"/>
            <w:vAlign w:val="center"/>
            <w:tcMar>
              <w:top w:w="70" w:type="dxa"/>
              <w:start w:w="90" w:type="dxa"/>
              <w:bottom w:w="70" w:type="dxa"/>
              <w:end w:w="90" w:type="dxa"/>
            </w:tcMar>
          </w:tcPr>
          <w:p>
            <w:r>
              <w:rPr>
                <w:sz w:val="14"/>
              </w:rPr>
              <w:t>1.22%</w:t>
            </w:r>
          </w:p>
        </w:tc>
        <w:tc>
          <w:tcPr>
            <w:tcW w:type="dxa" w:w="1452"/>
            <w:vAlign w:val="center"/>
            <w:tcMar>
              <w:top w:w="70" w:type="dxa"/>
              <w:start w:w="90" w:type="dxa"/>
              <w:bottom w:w="70" w:type="dxa"/>
              <w:end w:w="90" w:type="dxa"/>
            </w:tcMar>
          </w:tcPr>
          <w:p>
            <w:r>
              <w:rPr>
                <w:sz w:val="14"/>
              </w:rPr>
              <w:t>12,794</w:t>
            </w:r>
          </w:p>
        </w:tc>
        <w:tc>
          <w:tcPr>
            <w:tcW w:type="dxa" w:w="1452"/>
            <w:vAlign w:val="center"/>
            <w:tcMar>
              <w:top w:w="70" w:type="dxa"/>
              <w:start w:w="90" w:type="dxa"/>
              <w:bottom w:w="70" w:type="dxa"/>
              <w:end w:w="90" w:type="dxa"/>
            </w:tcMar>
          </w:tcPr>
          <w:p>
            <w:r>
              <w:rPr>
                <w:sz w:val="14"/>
              </w:rPr>
              <w:t>Speculative / wait</w:t>
            </w:r>
          </w:p>
        </w:tc>
      </w:tr>
      <w:tr>
        <w:trPr>
          <w:cantSplit/>
        </w:trPr>
        <w:tc>
          <w:tcPr>
            <w:tcW w:type="dxa" w:w="1452"/>
            <w:shd w:fill="EAF2F8"/>
            <w:vAlign w:val="center"/>
            <w:tcMar>
              <w:top w:w="70" w:type="dxa"/>
              <w:start w:w="90" w:type="dxa"/>
              <w:bottom w:w="70" w:type="dxa"/>
              <w:end w:w="90" w:type="dxa"/>
            </w:tcMar>
          </w:tcPr>
          <w:p>
            <w:r>
              <w:rPr>
                <w:sz w:val="14"/>
              </w:rPr>
              <w:t>Diamond Trust Bank (DTK)</w:t>
            </w:r>
          </w:p>
        </w:tc>
        <w:tc>
          <w:tcPr>
            <w:tcW w:type="dxa" w:w="1452"/>
            <w:shd w:fill="EAF2F8"/>
            <w:vAlign w:val="center"/>
            <w:tcMar>
              <w:top w:w="70" w:type="dxa"/>
              <w:start w:w="90" w:type="dxa"/>
              <w:bottom w:w="70" w:type="dxa"/>
              <w:end w:w="90" w:type="dxa"/>
            </w:tcMar>
          </w:tcPr>
          <w:p>
            <w:r>
              <w:rPr>
                <w:sz w:val="14"/>
              </w:rPr>
              <w:t>Banking</w:t>
            </w:r>
          </w:p>
        </w:tc>
        <w:tc>
          <w:tcPr>
            <w:tcW w:type="dxa" w:w="1452"/>
            <w:shd w:fill="EAF2F8"/>
            <w:vAlign w:val="center"/>
            <w:tcMar>
              <w:top w:w="70" w:type="dxa"/>
              <w:start w:w="90" w:type="dxa"/>
              <w:bottom w:w="70" w:type="dxa"/>
              <w:end w:w="90" w:type="dxa"/>
            </w:tcMar>
          </w:tcPr>
          <w:p>
            <w:r>
              <w:rPr>
                <w:sz w:val="14"/>
              </w:rPr>
              <w:t>191.00</w:t>
            </w:r>
          </w:p>
        </w:tc>
        <w:tc>
          <w:tcPr>
            <w:tcW w:type="dxa" w:w="1452"/>
            <w:shd w:fill="EAF2F8"/>
            <w:vAlign w:val="center"/>
            <w:tcMar>
              <w:top w:w="70" w:type="dxa"/>
              <w:start w:w="90" w:type="dxa"/>
              <w:bottom w:w="70" w:type="dxa"/>
              <w:end w:w="90" w:type="dxa"/>
            </w:tcMar>
          </w:tcPr>
          <w:p>
            <w:r>
              <w:rPr>
                <w:sz w:val="14"/>
              </w:rPr>
              <w:t>FY2025 final/annual</w:t>
            </w:r>
          </w:p>
        </w:tc>
        <w:tc>
          <w:tcPr>
            <w:tcW w:type="dxa" w:w="1452"/>
            <w:shd w:fill="EAF2F8"/>
            <w:vAlign w:val="center"/>
            <w:tcMar>
              <w:top w:w="70" w:type="dxa"/>
              <w:start w:w="90" w:type="dxa"/>
              <w:bottom w:w="70" w:type="dxa"/>
              <w:end w:w="90" w:type="dxa"/>
            </w:tcMar>
          </w:tcPr>
          <w:p>
            <w:r>
              <w:rPr>
                <w:sz w:val="14"/>
              </w:rPr>
              <w:t>4.71%</w:t>
            </w:r>
          </w:p>
        </w:tc>
        <w:tc>
          <w:tcPr>
            <w:tcW w:type="dxa" w:w="1452"/>
            <w:shd w:fill="EAF2F8"/>
            <w:vAlign w:val="center"/>
            <w:tcMar>
              <w:top w:w="70" w:type="dxa"/>
              <w:start w:w="90" w:type="dxa"/>
              <w:bottom w:w="70" w:type="dxa"/>
              <w:end w:w="90" w:type="dxa"/>
            </w:tcMar>
          </w:tcPr>
          <w:p>
            <w:r>
              <w:rPr>
                <w:sz w:val="14"/>
              </w:rPr>
              <w:t>540,090</w:t>
            </w:r>
          </w:p>
        </w:tc>
        <w:tc>
          <w:tcPr>
            <w:tcW w:type="dxa" w:w="1452"/>
            <w:shd w:fill="EAF2F8"/>
            <w:vAlign w:val="center"/>
            <w:tcMar>
              <w:top w:w="70" w:type="dxa"/>
              <w:start w:w="90" w:type="dxa"/>
              <w:bottom w:w="70" w:type="dxa"/>
              <w:end w:w="90" w:type="dxa"/>
            </w:tcMar>
          </w:tcPr>
          <w:p>
            <w:r>
              <w:rPr>
                <w:sz w:val="14"/>
              </w:rPr>
              <w:t>Quality-bank alternative</w:t>
            </w:r>
          </w:p>
        </w:tc>
      </w:tr>
      <w:tr>
        <w:trPr>
          <w:cantSplit/>
        </w:trPr>
        <w:tc>
          <w:tcPr>
            <w:tcW w:type="dxa" w:w="1452"/>
            <w:vAlign w:val="center"/>
            <w:tcMar>
              <w:top w:w="70" w:type="dxa"/>
              <w:start w:w="90" w:type="dxa"/>
              <w:bottom w:w="70" w:type="dxa"/>
              <w:end w:w="90" w:type="dxa"/>
            </w:tcMar>
          </w:tcPr>
          <w:p>
            <w:r>
              <w:rPr>
                <w:sz w:val="14"/>
              </w:rPr>
              <w:t>Carbacid Investments (CARB)</w:t>
            </w:r>
          </w:p>
        </w:tc>
        <w:tc>
          <w:tcPr>
            <w:tcW w:type="dxa" w:w="1452"/>
            <w:vAlign w:val="center"/>
            <w:tcMar>
              <w:top w:w="70" w:type="dxa"/>
              <w:start w:w="90" w:type="dxa"/>
              <w:bottom w:w="70" w:type="dxa"/>
              <w:end w:w="90" w:type="dxa"/>
            </w:tcMar>
          </w:tcPr>
          <w:p>
            <w:r>
              <w:rPr>
                <w:sz w:val="14"/>
              </w:rPr>
              <w:t>Industrial CO2 / investments</w:t>
            </w:r>
          </w:p>
        </w:tc>
        <w:tc>
          <w:tcPr>
            <w:tcW w:type="dxa" w:w="1452"/>
            <w:vAlign w:val="center"/>
            <w:tcMar>
              <w:top w:w="70" w:type="dxa"/>
              <w:start w:w="90" w:type="dxa"/>
              <w:bottom w:w="70" w:type="dxa"/>
              <w:end w:w="90" w:type="dxa"/>
            </w:tcMar>
          </w:tcPr>
          <w:p>
            <w:r>
              <w:rPr>
                <w:sz w:val="14"/>
              </w:rPr>
              <w:t>43.50</w:t>
            </w:r>
          </w:p>
        </w:tc>
        <w:tc>
          <w:tcPr>
            <w:tcW w:type="dxa" w:w="1452"/>
            <w:vAlign w:val="center"/>
            <w:tcMar>
              <w:top w:w="70" w:type="dxa"/>
              <w:start w:w="90" w:type="dxa"/>
              <w:bottom w:w="70" w:type="dxa"/>
              <w:end w:w="90" w:type="dxa"/>
            </w:tcMar>
          </w:tcPr>
          <w:p>
            <w:r>
              <w:rPr>
                <w:sz w:val="14"/>
              </w:rPr>
              <w:t>FY2025 final/annual</w:t>
            </w:r>
          </w:p>
        </w:tc>
        <w:tc>
          <w:tcPr>
            <w:tcW w:type="dxa" w:w="1452"/>
            <w:vAlign w:val="center"/>
            <w:tcMar>
              <w:top w:w="70" w:type="dxa"/>
              <w:start w:w="90" w:type="dxa"/>
              <w:bottom w:w="70" w:type="dxa"/>
              <w:end w:w="90" w:type="dxa"/>
            </w:tcMar>
          </w:tcPr>
          <w:p>
            <w:r>
              <w:rPr>
                <w:sz w:val="14"/>
              </w:rPr>
              <w:t>4.60%</w:t>
            </w:r>
          </w:p>
        </w:tc>
        <w:tc>
          <w:tcPr>
            <w:tcW w:type="dxa" w:w="1452"/>
            <w:vAlign w:val="center"/>
            <w:tcMar>
              <w:top w:w="70" w:type="dxa"/>
              <w:start w:w="90" w:type="dxa"/>
              <w:bottom w:w="70" w:type="dxa"/>
              <w:end w:w="90" w:type="dxa"/>
            </w:tcMar>
          </w:tcPr>
          <w:p>
            <w:r>
              <w:rPr>
                <w:sz w:val="14"/>
              </w:rPr>
              <w:t>45,231</w:t>
            </w:r>
          </w:p>
        </w:tc>
        <w:tc>
          <w:tcPr>
            <w:tcW w:type="dxa" w:w="1452"/>
            <w:vAlign w:val="center"/>
            <w:tcMar>
              <w:top w:w="70" w:type="dxa"/>
              <w:start w:w="90" w:type="dxa"/>
              <w:bottom w:w="70" w:type="dxa"/>
              <w:end w:w="90" w:type="dxa"/>
            </w:tcMar>
          </w:tcPr>
          <w:p>
            <w:r>
              <w:rPr>
                <w:sz w:val="14"/>
              </w:rPr>
              <w:t>Secondary industrial diversifier</w:t>
            </w:r>
          </w:p>
        </w:tc>
      </w:tr>
    </w:tbl>
    <w:p>
      <w:pPr>
        <w:pStyle w:val="Caption"/>
      </w:pPr>
      <w:r>
        <w:rPr>
          <w:i/>
        </w:rPr>
        <w:t>Table 7. Watchlist market snapshot. Prices and 9 September volumes are from myStocks [1]. Dividend bases are sourced from [15]–[34]. Headline and special dividends are distinguished where material.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90" w:type="dxa"/>
              <w:bottom w:w="70" w:type="dxa"/>
              <w:end w:w="90" w:type="dxa"/>
            </w:tcMar>
          </w:tcPr>
          <w:p>
            <w:r>
              <w:rPr>
                <w:b/>
                <w:color w:val="FFFFFF"/>
                <w:sz w:val="14"/>
              </w:rPr>
              <w:t>Stock</w:t>
            </w:r>
          </w:p>
        </w:tc>
        <w:tc>
          <w:tcPr>
            <w:tcW w:type="dxa" w:w="3389"/>
            <w:shd w:fill="1F4E78"/>
            <w:vAlign w:val="center"/>
            <w:tcMar>
              <w:top w:w="70" w:type="dxa"/>
              <w:start w:w="90" w:type="dxa"/>
              <w:bottom w:w="70" w:type="dxa"/>
              <w:end w:w="90" w:type="dxa"/>
            </w:tcMar>
          </w:tcPr>
          <w:p>
            <w:r>
              <w:rPr>
                <w:b/>
                <w:color w:val="FFFFFF"/>
                <w:sz w:val="14"/>
              </w:rPr>
              <w:t>Key catalyst / portfolio value</w:t>
            </w:r>
          </w:p>
        </w:tc>
        <w:tc>
          <w:tcPr>
            <w:tcW w:type="dxa" w:w="3389"/>
            <w:shd w:fill="1F4E78"/>
            <w:vAlign w:val="center"/>
            <w:tcMar>
              <w:top w:w="70" w:type="dxa"/>
              <w:start w:w="90" w:type="dxa"/>
              <w:bottom w:w="70" w:type="dxa"/>
              <w:end w:w="90" w:type="dxa"/>
            </w:tcMar>
          </w:tcPr>
          <w:p>
            <w:r>
              <w:rPr>
                <w:b/>
                <w:color w:val="FFFFFF"/>
                <w:sz w:val="14"/>
              </w:rPr>
              <w:t>Principal risk to monitor</w:t>
            </w:r>
          </w:p>
        </w:tc>
      </w:tr>
      <w:tr>
        <w:trPr>
          <w:cantSplit/>
        </w:trPr>
        <w:tc>
          <w:tcPr>
            <w:tcW w:type="dxa" w:w="3389"/>
            <w:vAlign w:val="center"/>
            <w:tcMar>
              <w:top w:w="70" w:type="dxa"/>
              <w:start w:w="90" w:type="dxa"/>
              <w:bottom w:w="70" w:type="dxa"/>
              <w:end w:w="90" w:type="dxa"/>
            </w:tcMar>
          </w:tcPr>
          <w:p>
            <w:r>
              <w:rPr>
                <w:sz w:val="14"/>
              </w:rPr>
              <w:t>KenGen (KEGN)</w:t>
            </w:r>
          </w:p>
        </w:tc>
        <w:tc>
          <w:tcPr>
            <w:tcW w:type="dxa" w:w="3389"/>
            <w:vAlign w:val="center"/>
            <w:tcMar>
              <w:top w:w="70" w:type="dxa"/>
              <w:start w:w="90" w:type="dxa"/>
              <w:bottom w:w="70" w:type="dxa"/>
              <w:end w:w="90" w:type="dxa"/>
            </w:tcMar>
          </w:tcPr>
          <w:p>
            <w:r>
              <w:rPr>
                <w:sz w:val="14"/>
              </w:rPr>
              <w:t>Renewable generation, geothermal expertise, green-energy industrial initiatives</w:t>
            </w:r>
          </w:p>
        </w:tc>
        <w:tc>
          <w:tcPr>
            <w:tcW w:type="dxa" w:w="3389"/>
            <w:vAlign w:val="center"/>
            <w:tcMar>
              <w:top w:w="70" w:type="dxa"/>
              <w:start w:w="90" w:type="dxa"/>
              <w:bottom w:w="70" w:type="dxa"/>
              <w:end w:w="90" w:type="dxa"/>
            </w:tcMar>
          </w:tcPr>
          <w:p>
            <w:r>
              <w:rPr>
                <w:sz w:val="14"/>
              </w:rPr>
              <w:t>Dividend cut versus FY2025; capex intensity; hydrology/regulatory risk</w:t>
            </w:r>
          </w:p>
        </w:tc>
      </w:tr>
      <w:tr>
        <w:trPr>
          <w:cantSplit/>
        </w:trPr>
        <w:tc>
          <w:tcPr>
            <w:tcW w:type="dxa" w:w="3389"/>
            <w:shd w:fill="EAF2F8"/>
            <w:vAlign w:val="center"/>
            <w:tcMar>
              <w:top w:w="70" w:type="dxa"/>
              <w:start w:w="90" w:type="dxa"/>
              <w:bottom w:w="70" w:type="dxa"/>
              <w:end w:w="90" w:type="dxa"/>
            </w:tcMar>
          </w:tcPr>
          <w:p>
            <w:r>
              <w:rPr>
                <w:sz w:val="14"/>
              </w:rPr>
              <w:t>KCB Group (KCB)</w:t>
            </w:r>
          </w:p>
        </w:tc>
        <w:tc>
          <w:tcPr>
            <w:tcW w:type="dxa" w:w="3389"/>
            <w:shd w:fill="EAF2F8"/>
            <w:vAlign w:val="center"/>
            <w:tcMar>
              <w:top w:w="70" w:type="dxa"/>
              <w:start w:w="90" w:type="dxa"/>
              <w:bottom w:w="70" w:type="dxa"/>
              <w:end w:w="90" w:type="dxa"/>
            </w:tcMar>
          </w:tcPr>
          <w:p>
            <w:r>
              <w:rPr>
                <w:sz w:val="14"/>
              </w:rPr>
              <w:t>Regional scale, 2025 record profit, digital and regional earnings</w:t>
            </w:r>
          </w:p>
        </w:tc>
        <w:tc>
          <w:tcPr>
            <w:tcW w:type="dxa" w:w="3389"/>
            <w:shd w:fill="EAF2F8"/>
            <w:vAlign w:val="center"/>
            <w:tcMar>
              <w:top w:w="70" w:type="dxa"/>
              <w:start w:w="90" w:type="dxa"/>
              <w:bottom w:w="70" w:type="dxa"/>
              <w:end w:w="90" w:type="dxa"/>
            </w:tcMar>
          </w:tcPr>
          <w:p>
            <w:r>
              <w:rPr>
                <w:sz w:val="14"/>
              </w:rPr>
              <w:t>Near recent highs; banking concentration; special dividend not recurring</w:t>
            </w:r>
          </w:p>
        </w:tc>
      </w:tr>
      <w:tr>
        <w:trPr>
          <w:cantSplit/>
        </w:trPr>
        <w:tc>
          <w:tcPr>
            <w:tcW w:type="dxa" w:w="3389"/>
            <w:vAlign w:val="center"/>
            <w:tcMar>
              <w:top w:w="70" w:type="dxa"/>
              <w:start w:w="90" w:type="dxa"/>
              <w:bottom w:w="70" w:type="dxa"/>
              <w:end w:w="90" w:type="dxa"/>
            </w:tcMar>
          </w:tcPr>
          <w:p>
            <w:r>
              <w:rPr>
                <w:sz w:val="14"/>
              </w:rPr>
              <w:t>Stanbic Holdings (SBIC)</w:t>
            </w:r>
          </w:p>
        </w:tc>
        <w:tc>
          <w:tcPr>
            <w:tcW w:type="dxa" w:w="3389"/>
            <w:vAlign w:val="center"/>
            <w:tcMar>
              <w:top w:w="70" w:type="dxa"/>
              <w:start w:w="90" w:type="dxa"/>
              <w:bottom w:w="70" w:type="dxa"/>
              <w:end w:w="90" w:type="dxa"/>
            </w:tcMar>
          </w:tcPr>
          <w:p>
            <w:r>
              <w:rPr>
                <w:sz w:val="14"/>
              </w:rPr>
              <w:t>Strong distribution and institutional franchise</w:t>
            </w:r>
          </w:p>
        </w:tc>
        <w:tc>
          <w:tcPr>
            <w:tcW w:type="dxa" w:w="3389"/>
            <w:vAlign w:val="center"/>
            <w:tcMar>
              <w:top w:w="70" w:type="dxa"/>
              <w:start w:w="90" w:type="dxa"/>
              <w:bottom w:w="70" w:type="dxa"/>
              <w:end w:w="90" w:type="dxa"/>
            </w:tcMar>
          </w:tcPr>
          <w:p>
            <w:r>
              <w:rPr>
                <w:sz w:val="14"/>
              </w:rPr>
              <w:t>Share price near recent highs; sector concentration; rate-cycle sensitivity</w:t>
            </w:r>
          </w:p>
        </w:tc>
      </w:tr>
      <w:tr>
        <w:trPr>
          <w:cantSplit/>
        </w:trPr>
        <w:tc>
          <w:tcPr>
            <w:tcW w:type="dxa" w:w="3389"/>
            <w:shd w:fill="EAF2F8"/>
            <w:vAlign w:val="center"/>
            <w:tcMar>
              <w:top w:w="70" w:type="dxa"/>
              <w:start w:w="90" w:type="dxa"/>
              <w:bottom w:w="70" w:type="dxa"/>
              <w:end w:w="90" w:type="dxa"/>
            </w:tcMar>
          </w:tcPr>
          <w:p>
            <w:r>
              <w:rPr>
                <w:sz w:val="14"/>
              </w:rPr>
              <w:t>TotalEnergies Marketing Kenya (TOTL)</w:t>
            </w:r>
          </w:p>
        </w:tc>
        <w:tc>
          <w:tcPr>
            <w:tcW w:type="dxa" w:w="3389"/>
            <w:shd w:fill="EAF2F8"/>
            <w:vAlign w:val="center"/>
            <w:tcMar>
              <w:top w:w="70" w:type="dxa"/>
              <w:start w:w="90" w:type="dxa"/>
              <w:bottom w:w="70" w:type="dxa"/>
              <w:end w:w="90" w:type="dxa"/>
            </w:tcMar>
          </w:tcPr>
          <w:p>
            <w:r>
              <w:rPr>
                <w:sz w:val="14"/>
              </w:rPr>
              <w:t>Fuel retail, lubricants and energy distribution; different cash-flow driver from banks</w:t>
            </w:r>
          </w:p>
        </w:tc>
        <w:tc>
          <w:tcPr>
            <w:tcW w:type="dxa" w:w="3389"/>
            <w:shd w:fill="EAF2F8"/>
            <w:vAlign w:val="center"/>
            <w:tcMar>
              <w:top w:w="70" w:type="dxa"/>
              <w:start w:w="90" w:type="dxa"/>
              <w:bottom w:w="70" w:type="dxa"/>
              <w:end w:w="90" w:type="dxa"/>
            </w:tcMar>
          </w:tcPr>
          <w:p>
            <w:r>
              <w:rPr>
                <w:sz w:val="14"/>
              </w:rPr>
              <w:t>Oil-price/FX/margin regulation; moderate liquidity</w:t>
            </w:r>
          </w:p>
        </w:tc>
      </w:tr>
      <w:tr>
        <w:trPr>
          <w:cantSplit/>
        </w:trPr>
        <w:tc>
          <w:tcPr>
            <w:tcW w:type="dxa" w:w="3389"/>
            <w:vAlign w:val="center"/>
            <w:tcMar>
              <w:top w:w="70" w:type="dxa"/>
              <w:start w:w="90" w:type="dxa"/>
              <w:bottom w:w="70" w:type="dxa"/>
              <w:end w:w="90" w:type="dxa"/>
            </w:tcMar>
          </w:tcPr>
          <w:p>
            <w:r>
              <w:rPr>
                <w:sz w:val="14"/>
              </w:rPr>
              <w:t>Jubilee Holdings (JUB)</w:t>
            </w:r>
          </w:p>
        </w:tc>
        <w:tc>
          <w:tcPr>
            <w:tcW w:type="dxa" w:w="3389"/>
            <w:vAlign w:val="center"/>
            <w:tcMar>
              <w:top w:w="70" w:type="dxa"/>
              <w:start w:w="90" w:type="dxa"/>
              <w:bottom w:w="70" w:type="dxa"/>
              <w:end w:w="90" w:type="dxa"/>
            </w:tcMar>
          </w:tcPr>
          <w:p>
            <w:r>
              <w:rPr>
                <w:sz w:val="14"/>
              </w:rPr>
              <w:t>Insurance, asset management and regional exposure; 2025 profit growth</w:t>
            </w:r>
          </w:p>
        </w:tc>
        <w:tc>
          <w:tcPr>
            <w:tcW w:type="dxa" w:w="3389"/>
            <w:vAlign w:val="center"/>
            <w:tcMar>
              <w:top w:w="70" w:type="dxa"/>
              <w:start w:w="90" w:type="dxa"/>
              <w:bottom w:w="70" w:type="dxa"/>
              <w:end w:w="90" w:type="dxa"/>
            </w:tcMar>
          </w:tcPr>
          <w:p>
            <w:r>
              <w:rPr>
                <w:sz w:val="14"/>
              </w:rPr>
              <w:t>Lower yield; investment-market and claims-cycle risk; relatively low liquidity</w:t>
            </w:r>
          </w:p>
        </w:tc>
      </w:tr>
      <w:tr>
        <w:trPr>
          <w:cantSplit/>
        </w:trPr>
        <w:tc>
          <w:tcPr>
            <w:tcW w:type="dxa" w:w="3389"/>
            <w:shd w:fill="EAF2F8"/>
            <w:vAlign w:val="center"/>
            <w:tcMar>
              <w:top w:w="70" w:type="dxa"/>
              <w:start w:w="90" w:type="dxa"/>
              <w:bottom w:w="70" w:type="dxa"/>
              <w:end w:w="90" w:type="dxa"/>
            </w:tcMar>
          </w:tcPr>
          <w:p>
            <w:r>
              <w:rPr>
                <w:sz w:val="14"/>
              </w:rPr>
              <w:t>NCBA Group (NCBA)</w:t>
            </w:r>
          </w:p>
        </w:tc>
        <w:tc>
          <w:tcPr>
            <w:tcW w:type="dxa" w:w="3389"/>
            <w:shd w:fill="EAF2F8"/>
            <w:vAlign w:val="center"/>
            <w:tcMar>
              <w:top w:w="70" w:type="dxa"/>
              <w:start w:w="90" w:type="dxa"/>
              <w:bottom w:w="70" w:type="dxa"/>
              <w:end w:w="90" w:type="dxa"/>
            </w:tcMar>
          </w:tcPr>
          <w:p>
            <w:r>
              <w:rPr>
                <w:sz w:val="14"/>
              </w:rPr>
              <w:t>Digital lending scale, stronger payout; proposed Nedbank transaction is a catalyst</w:t>
            </w:r>
          </w:p>
        </w:tc>
        <w:tc>
          <w:tcPr>
            <w:tcW w:type="dxa" w:w="3389"/>
            <w:shd w:fill="EAF2F8"/>
            <w:vAlign w:val="center"/>
            <w:tcMar>
              <w:top w:w="70" w:type="dxa"/>
              <w:start w:w="90" w:type="dxa"/>
              <w:bottom w:w="70" w:type="dxa"/>
              <w:end w:w="90" w:type="dxa"/>
            </w:tcMar>
          </w:tcPr>
          <w:p>
            <w:r>
              <w:rPr>
                <w:sz w:val="14"/>
              </w:rPr>
              <w:t>Credit-loss provisions rose in FY2025; transaction/regulatory uncertainty; banking concentration</w:t>
            </w:r>
          </w:p>
        </w:tc>
      </w:tr>
      <w:tr>
        <w:trPr>
          <w:cantSplit/>
        </w:trPr>
        <w:tc>
          <w:tcPr>
            <w:tcW w:type="dxa" w:w="3389"/>
            <w:vAlign w:val="center"/>
            <w:tcMar>
              <w:top w:w="70" w:type="dxa"/>
              <w:start w:w="90" w:type="dxa"/>
              <w:bottom w:w="70" w:type="dxa"/>
              <w:end w:w="90" w:type="dxa"/>
            </w:tcMar>
          </w:tcPr>
          <w:p>
            <w:r>
              <w:rPr>
                <w:sz w:val="14"/>
              </w:rPr>
              <w:t>BOC Kenya (BOC)</w:t>
            </w:r>
          </w:p>
        </w:tc>
        <w:tc>
          <w:tcPr>
            <w:tcW w:type="dxa" w:w="3389"/>
            <w:vAlign w:val="center"/>
            <w:tcMar>
              <w:top w:w="70" w:type="dxa"/>
              <w:start w:w="90" w:type="dxa"/>
              <w:bottom w:w="70" w:type="dxa"/>
              <w:end w:w="90" w:type="dxa"/>
            </w:tcMar>
          </w:tcPr>
          <w:p>
            <w:r>
              <w:rPr>
                <w:sz w:val="14"/>
              </w:rPr>
              <w:t>Industrial/medical gases; strong cash-distribution profile</w:t>
            </w:r>
          </w:p>
        </w:tc>
        <w:tc>
          <w:tcPr>
            <w:tcW w:type="dxa" w:w="3389"/>
            <w:vAlign w:val="center"/>
            <w:tcMar>
              <w:top w:w="70" w:type="dxa"/>
              <w:start w:w="90" w:type="dxa"/>
              <w:bottom w:w="70" w:type="dxa"/>
              <w:end w:w="90" w:type="dxa"/>
            </w:tcMar>
          </w:tcPr>
          <w:p>
            <w:r>
              <w:rPr>
                <w:sz w:val="14"/>
              </w:rPr>
              <w:t>Very thin trading; payout variability; concentration in a small industrial franchise</w:t>
            </w:r>
          </w:p>
        </w:tc>
      </w:tr>
      <w:tr>
        <w:trPr>
          <w:cantSplit/>
        </w:trPr>
        <w:tc>
          <w:tcPr>
            <w:tcW w:type="dxa" w:w="3389"/>
            <w:shd w:fill="EAF2F8"/>
            <w:vAlign w:val="center"/>
            <w:tcMar>
              <w:top w:w="70" w:type="dxa"/>
              <w:start w:w="90" w:type="dxa"/>
              <w:bottom w:w="70" w:type="dxa"/>
              <w:end w:w="90" w:type="dxa"/>
            </w:tcMar>
          </w:tcPr>
          <w:p>
            <w:r>
              <w:rPr>
                <w:sz w:val="14"/>
              </w:rPr>
              <w:t>Kenya Power (KPLC)</w:t>
            </w:r>
          </w:p>
        </w:tc>
        <w:tc>
          <w:tcPr>
            <w:tcW w:type="dxa" w:w="3389"/>
            <w:shd w:fill="EAF2F8"/>
            <w:vAlign w:val="center"/>
            <w:tcMar>
              <w:top w:w="70" w:type="dxa"/>
              <w:start w:w="90" w:type="dxa"/>
              <w:bottom w:w="70" w:type="dxa"/>
              <w:end w:w="90" w:type="dxa"/>
            </w:tcMar>
          </w:tcPr>
          <w:p>
            <w:r>
              <w:rPr>
                <w:sz w:val="14"/>
              </w:rPr>
              <w:t>Improved profitability and restored dividends; very liquid</w:t>
            </w:r>
          </w:p>
        </w:tc>
        <w:tc>
          <w:tcPr>
            <w:tcW w:type="dxa" w:w="3389"/>
            <w:shd w:fill="EAF2F8"/>
            <w:vAlign w:val="center"/>
            <w:tcMar>
              <w:top w:w="70" w:type="dxa"/>
              <w:start w:w="90" w:type="dxa"/>
              <w:bottom w:w="70" w:type="dxa"/>
              <w:end w:w="90" w:type="dxa"/>
            </w:tcMar>
          </w:tcPr>
          <w:p>
            <w:r>
              <w:rPr>
                <w:sz w:val="14"/>
              </w:rPr>
              <w:t>Regulatory/tariff risk, debt and FX exposures, state-policy influence; FY2026 results not yet published at research date</w:t>
            </w:r>
          </w:p>
        </w:tc>
      </w:tr>
      <w:tr>
        <w:trPr>
          <w:cantSplit/>
        </w:trPr>
        <w:tc>
          <w:tcPr>
            <w:tcW w:type="dxa" w:w="3389"/>
            <w:vAlign w:val="center"/>
            <w:tcMar>
              <w:top w:w="70" w:type="dxa"/>
              <w:start w:w="90" w:type="dxa"/>
              <w:bottom w:w="70" w:type="dxa"/>
              <w:end w:w="90" w:type="dxa"/>
            </w:tcMar>
          </w:tcPr>
          <w:p>
            <w:r>
              <w:rPr>
                <w:sz w:val="14"/>
              </w:rPr>
              <w:t>Kakuzi (KUKZ)</w:t>
            </w:r>
          </w:p>
        </w:tc>
        <w:tc>
          <w:tcPr>
            <w:tcW w:type="dxa" w:w="3389"/>
            <w:vAlign w:val="center"/>
            <w:tcMar>
              <w:top w:w="70" w:type="dxa"/>
              <w:start w:w="90" w:type="dxa"/>
              <w:bottom w:w="70" w:type="dxa"/>
              <w:end w:w="90" w:type="dxa"/>
            </w:tcMar>
          </w:tcPr>
          <w:p>
            <w:r>
              <w:rPr>
                <w:sz w:val="14"/>
              </w:rPr>
              <w:t>Avocado, macadamia, blueberry and export diversification; returned to profit</w:t>
            </w:r>
          </w:p>
        </w:tc>
        <w:tc>
          <w:tcPr>
            <w:tcW w:type="dxa" w:w="3389"/>
            <w:vAlign w:val="center"/>
            <w:tcMar>
              <w:top w:w="70" w:type="dxa"/>
              <w:start w:w="90" w:type="dxa"/>
              <w:bottom w:w="70" w:type="dxa"/>
              <w:end w:w="90" w:type="dxa"/>
            </w:tcMar>
          </w:tcPr>
          <w:p>
            <w:r>
              <w:rPr>
                <w:sz w:val="14"/>
              </w:rPr>
              <w:t>Very low liquidity; crop/weather/logistics/geopolitical exposure; relatively high absolute share price</w:t>
            </w:r>
          </w:p>
        </w:tc>
      </w:tr>
      <w:tr>
        <w:trPr>
          <w:cantSplit/>
        </w:trPr>
        <w:tc>
          <w:tcPr>
            <w:tcW w:type="dxa" w:w="3389"/>
            <w:shd w:fill="EAF2F8"/>
            <w:vAlign w:val="center"/>
            <w:tcMar>
              <w:top w:w="70" w:type="dxa"/>
              <w:start w:w="90" w:type="dxa"/>
              <w:bottom w:w="70" w:type="dxa"/>
              <w:end w:w="90" w:type="dxa"/>
            </w:tcMar>
          </w:tcPr>
          <w:p>
            <w:r>
              <w:rPr>
                <w:sz w:val="14"/>
              </w:rPr>
              <w:t>Williamson Tea Kenya (WTK)</w:t>
            </w:r>
          </w:p>
        </w:tc>
        <w:tc>
          <w:tcPr>
            <w:tcW w:type="dxa" w:w="3389"/>
            <w:shd w:fill="EAF2F8"/>
            <w:vAlign w:val="center"/>
            <w:tcMar>
              <w:top w:w="70" w:type="dxa"/>
              <w:start w:w="90" w:type="dxa"/>
              <w:bottom w:w="70" w:type="dxa"/>
              <w:end w:w="90" w:type="dxa"/>
            </w:tcMar>
          </w:tcPr>
          <w:p>
            <w:r>
              <w:rPr>
                <w:sz w:val="14"/>
              </w:rPr>
              <w:t>High cash yield and return to profitability</w:t>
            </w:r>
          </w:p>
        </w:tc>
        <w:tc>
          <w:tcPr>
            <w:tcW w:type="dxa" w:w="3389"/>
            <w:shd w:fill="EAF2F8"/>
            <w:vAlign w:val="center"/>
            <w:tcMar>
              <w:top w:w="70" w:type="dxa"/>
              <w:start w:w="90" w:type="dxa"/>
              <w:bottom w:w="70" w:type="dxa"/>
              <w:end w:w="90" w:type="dxa"/>
            </w:tcMar>
          </w:tcPr>
          <w:p>
            <w:r>
              <w:rPr>
                <w:sz w:val="14"/>
              </w:rPr>
              <w:t>Dividend exceeded annual profit and relied on retained earnings; tea-price and currency cyclicality</w:t>
            </w:r>
          </w:p>
        </w:tc>
      </w:tr>
      <w:tr>
        <w:trPr>
          <w:cantSplit/>
        </w:trPr>
        <w:tc>
          <w:tcPr>
            <w:tcW w:type="dxa" w:w="3389"/>
            <w:vAlign w:val="center"/>
            <w:tcMar>
              <w:top w:w="70" w:type="dxa"/>
              <w:start w:w="90" w:type="dxa"/>
              <w:bottom w:w="70" w:type="dxa"/>
              <w:end w:w="90" w:type="dxa"/>
            </w:tcMar>
          </w:tcPr>
          <w:p>
            <w:r>
              <w:rPr>
                <w:sz w:val="14"/>
              </w:rPr>
              <w:t>I&amp;M Group (IMH)</w:t>
            </w:r>
          </w:p>
        </w:tc>
        <w:tc>
          <w:tcPr>
            <w:tcW w:type="dxa" w:w="3389"/>
            <w:vAlign w:val="center"/>
            <w:tcMar>
              <w:top w:w="70" w:type="dxa"/>
              <w:start w:w="90" w:type="dxa"/>
              <w:bottom w:w="70" w:type="dxa"/>
              <w:end w:w="90" w:type="dxa"/>
            </w:tcMar>
          </w:tcPr>
          <w:p>
            <w:r>
              <w:rPr>
                <w:sz w:val="14"/>
              </w:rPr>
              <w:t>Fifth consecutive annual payout increase; FY2025 profit growth</w:t>
            </w:r>
          </w:p>
        </w:tc>
        <w:tc>
          <w:tcPr>
            <w:tcW w:type="dxa" w:w="3389"/>
            <w:vAlign w:val="center"/>
            <w:tcMar>
              <w:top w:w="70" w:type="dxa"/>
              <w:start w:w="90" w:type="dxa"/>
              <w:bottom w:w="70" w:type="dxa"/>
              <w:end w:w="90" w:type="dxa"/>
            </w:tcMar>
          </w:tcPr>
          <w:p>
            <w:r>
              <w:rPr>
                <w:sz w:val="14"/>
              </w:rPr>
              <w:t>Bank concentration and credit-cycle risk; share price close to recent highs</w:t>
            </w:r>
          </w:p>
        </w:tc>
      </w:tr>
      <w:tr>
        <w:trPr>
          <w:cantSplit/>
        </w:trPr>
        <w:tc>
          <w:tcPr>
            <w:tcW w:type="dxa" w:w="3389"/>
            <w:shd w:fill="EAF2F8"/>
            <w:vAlign w:val="center"/>
            <w:tcMar>
              <w:top w:w="70" w:type="dxa"/>
              <w:start w:w="90" w:type="dxa"/>
              <w:bottom w:w="70" w:type="dxa"/>
              <w:end w:w="90" w:type="dxa"/>
            </w:tcMar>
          </w:tcPr>
          <w:p>
            <w:r>
              <w:rPr>
                <w:sz w:val="14"/>
              </w:rPr>
              <w:t>Absa Bank Kenya (ABSA)</w:t>
            </w:r>
          </w:p>
        </w:tc>
        <w:tc>
          <w:tcPr>
            <w:tcW w:type="dxa" w:w="3389"/>
            <w:shd w:fill="EAF2F8"/>
            <w:vAlign w:val="center"/>
            <w:tcMar>
              <w:top w:w="70" w:type="dxa"/>
              <w:start w:w="90" w:type="dxa"/>
              <w:bottom w:w="70" w:type="dxa"/>
              <w:end w:w="90" w:type="dxa"/>
            </w:tcMar>
          </w:tcPr>
          <w:p>
            <w:r>
              <w:rPr>
                <w:sz w:val="14"/>
              </w:rPr>
              <w:t>10% FY2025 profit growth and 17% dividend growth</w:t>
            </w:r>
          </w:p>
        </w:tc>
        <w:tc>
          <w:tcPr>
            <w:tcW w:type="dxa" w:w="3389"/>
            <w:shd w:fill="EAF2F8"/>
            <w:vAlign w:val="center"/>
            <w:tcMar>
              <w:top w:w="70" w:type="dxa"/>
              <w:start w:w="90" w:type="dxa"/>
              <w:bottom w:w="70" w:type="dxa"/>
              <w:end w:w="90" w:type="dxa"/>
            </w:tcMar>
          </w:tcPr>
          <w:p>
            <w:r>
              <w:rPr>
                <w:sz w:val="14"/>
              </w:rPr>
              <w:t>Bank concentration; rate and asset-quality cycle; price has rerated materially</w:t>
            </w:r>
          </w:p>
        </w:tc>
      </w:tr>
      <w:tr>
        <w:trPr>
          <w:cantSplit/>
        </w:trPr>
        <w:tc>
          <w:tcPr>
            <w:tcW w:type="dxa" w:w="3389"/>
            <w:vAlign w:val="center"/>
            <w:tcMar>
              <w:top w:w="70" w:type="dxa"/>
              <w:start w:w="90" w:type="dxa"/>
              <w:bottom w:w="70" w:type="dxa"/>
              <w:end w:w="90" w:type="dxa"/>
            </w:tcMar>
          </w:tcPr>
          <w:p>
            <w:r>
              <w:rPr>
                <w:sz w:val="14"/>
              </w:rPr>
              <w:t>Car &amp; General (CGEN)</w:t>
            </w:r>
          </w:p>
        </w:tc>
        <w:tc>
          <w:tcPr>
            <w:tcW w:type="dxa" w:w="3389"/>
            <w:vAlign w:val="center"/>
            <w:tcMar>
              <w:top w:w="70" w:type="dxa"/>
              <w:start w:w="90" w:type="dxa"/>
              <w:bottom w:w="70" w:type="dxa"/>
              <w:end w:w="90" w:type="dxa"/>
            </w:tcMar>
          </w:tcPr>
          <w:p>
            <w:r>
              <w:rPr>
                <w:sz w:val="14"/>
              </w:rPr>
              <w:t>Earnings rebound and exposure to mobility/equipment markets</w:t>
            </w:r>
          </w:p>
        </w:tc>
        <w:tc>
          <w:tcPr>
            <w:tcW w:type="dxa" w:w="3389"/>
            <w:vAlign w:val="center"/>
            <w:tcMar>
              <w:top w:w="70" w:type="dxa"/>
              <w:start w:w="90" w:type="dxa"/>
              <w:bottom w:w="70" w:type="dxa"/>
              <w:end w:w="90" w:type="dxa"/>
            </w:tcMar>
          </w:tcPr>
          <w:p>
            <w:r>
              <w:rPr>
                <w:sz w:val="14"/>
              </w:rPr>
              <w:t>Extremely large 2026 price run and volatility; low yield at current price; entry-price risk</w:t>
            </w:r>
          </w:p>
        </w:tc>
      </w:tr>
      <w:tr>
        <w:trPr>
          <w:cantSplit/>
        </w:trPr>
        <w:tc>
          <w:tcPr>
            <w:tcW w:type="dxa" w:w="3389"/>
            <w:shd w:fill="EAF2F8"/>
            <w:vAlign w:val="center"/>
            <w:tcMar>
              <w:top w:w="70" w:type="dxa"/>
              <w:start w:w="90" w:type="dxa"/>
              <w:bottom w:w="70" w:type="dxa"/>
              <w:end w:w="90" w:type="dxa"/>
            </w:tcMar>
          </w:tcPr>
          <w:p>
            <w:r>
              <w:rPr>
                <w:sz w:val="14"/>
              </w:rPr>
              <w:t>Diamond Trust Bank (DTK)</w:t>
            </w:r>
          </w:p>
        </w:tc>
        <w:tc>
          <w:tcPr>
            <w:tcW w:type="dxa" w:w="3389"/>
            <w:shd w:fill="EAF2F8"/>
            <w:vAlign w:val="center"/>
            <w:tcMar>
              <w:top w:w="70" w:type="dxa"/>
              <w:start w:w="90" w:type="dxa"/>
              <w:bottom w:w="70" w:type="dxa"/>
              <w:end w:w="90" w:type="dxa"/>
            </w:tcMar>
          </w:tcPr>
          <w:p>
            <w:r>
              <w:rPr>
                <w:sz w:val="14"/>
              </w:rPr>
              <w:t>FY2025 PAT growth, rising dividend and strong East African deposit franchise</w:t>
            </w:r>
          </w:p>
        </w:tc>
        <w:tc>
          <w:tcPr>
            <w:tcW w:type="dxa" w:w="3389"/>
            <w:shd w:fill="EAF2F8"/>
            <w:vAlign w:val="center"/>
            <w:tcMar>
              <w:top w:w="70" w:type="dxa"/>
              <w:start w:w="90" w:type="dxa"/>
              <w:bottom w:w="70" w:type="dxa"/>
              <w:end w:w="90" w:type="dxa"/>
            </w:tcMar>
          </w:tcPr>
          <w:p>
            <w:r>
              <w:rPr>
                <w:sz w:val="14"/>
              </w:rPr>
              <w:t>Banking concentration; lower yield than top income banks; rate and credit-cycle risks</w:t>
            </w:r>
          </w:p>
        </w:tc>
      </w:tr>
      <w:tr>
        <w:trPr>
          <w:cantSplit/>
        </w:trPr>
        <w:tc>
          <w:tcPr>
            <w:tcW w:type="dxa" w:w="3389"/>
            <w:vAlign w:val="center"/>
            <w:tcMar>
              <w:top w:w="70" w:type="dxa"/>
              <w:start w:w="90" w:type="dxa"/>
              <w:bottom w:w="70" w:type="dxa"/>
              <w:end w:w="90" w:type="dxa"/>
            </w:tcMar>
          </w:tcPr>
          <w:p>
            <w:r>
              <w:rPr>
                <w:sz w:val="14"/>
              </w:rPr>
              <w:t>Carbacid Investments (CARB)</w:t>
            </w:r>
          </w:p>
        </w:tc>
        <w:tc>
          <w:tcPr>
            <w:tcW w:type="dxa" w:w="3389"/>
            <w:vAlign w:val="center"/>
            <w:tcMar>
              <w:top w:w="70" w:type="dxa"/>
              <w:start w:w="90" w:type="dxa"/>
              <w:bottom w:w="70" w:type="dxa"/>
              <w:end w:w="90" w:type="dxa"/>
            </w:tcMar>
          </w:tcPr>
          <w:p>
            <w:r>
              <w:rPr>
                <w:sz w:val="14"/>
              </w:rPr>
              <w:t>Strong margins, growing non-traditional markets and a rising dividend</w:t>
            </w:r>
          </w:p>
        </w:tc>
        <w:tc>
          <w:tcPr>
            <w:tcW w:type="dxa" w:w="3389"/>
            <w:vAlign w:val="center"/>
            <w:tcMar>
              <w:top w:w="70" w:type="dxa"/>
              <w:start w:w="90" w:type="dxa"/>
              <w:bottom w:w="70" w:type="dxa"/>
              <w:end w:w="90" w:type="dxa"/>
            </w:tcMar>
          </w:tcPr>
          <w:p>
            <w:r>
              <w:rPr>
                <w:sz w:val="14"/>
              </w:rPr>
              <w:t>Niche business concentration; investment-portfolio mark-to-market exposure; moderate liquidity</w:t>
            </w:r>
          </w:p>
        </w:tc>
      </w:tr>
    </w:tbl>
    <w:p>
      <w:pPr>
        <w:pStyle w:val="Caption"/>
      </w:pPr>
      <w:r>
        <w:rPr>
          <w:i/>
        </w:rPr>
        <w:t>Table 8. Qualitative monitoring matrix. These are research issues to track, not buy/sell signals.</w:t>
      </w:r>
    </w:p>
    <w:p>
      <w:pPr>
        <w:pStyle w:val="Heading1"/>
        <w:keepNext/>
      </w:pPr>
      <w:r>
        <w:t>15. Diversification Candidate: KenGen (KEGN)</w:t>
      </w:r>
    </w:p>
    <w:p>
      <w:pPr>
        <w:pStyle w:val="BodyText"/>
        <w:spacing w:after="120" w:line="259" w:lineRule="auto"/>
        <w:jc w:val="both"/>
      </w:pPr>
      <w:r>
        <w:t>KenGen is the highest-priority watchlist addition because it changes the economic exposure of the portfolio. The core has telecommunications, banking, tobacco, beverages and capital-market infrastructure but no electricity generation. KenGen closed at KES 10.85 on 9 September with about 2.42 million shares traded, indicating materially better liquidity than most agricultural and small industrial counters [1]. Its board recommended a first and final FY2026 dividend of KES 0.75 per share, down from KES 0.90 for FY2025 [15]. At the reference price, the recommended dividend represents an indicative yield of about 6.91%.</w:t>
      </w:r>
    </w:p>
    <w:p>
      <w:pPr>
        <w:pStyle w:val="BodyText"/>
        <w:spacing w:after="120" w:line="259" w:lineRule="auto"/>
        <w:jc w:val="both"/>
      </w:pPr>
      <w:r>
        <w:t>The dividend cut should not automatically be interpreted as deterioration. KenGen's FY2026 results show an asset-intensive business continuing to invest in generation capacity, while management is also developing geothermal consulting and the KenGen Green Energy Park [14], [15]. For a dividend-growth investor, the important question is whether retained cash earns an adequate return and expands future distributable capacity. A utility that under-invests merely to preserve a high payout can destroy long-term value. Key risks include large capital requirements, hydrology, project execution, regulatory policy and the government's strategic role. The watch status is therefore high-priority diversifier, with emphasis on accumulating only when valuation and the investor's overall energy weight are reasonable.</w:t>
      </w:r>
    </w:p>
    <w:p>
      <w:pPr>
        <w:pStyle w:val="Heading1"/>
        <w:keepNext/>
      </w:pPr>
      <w:r>
        <w:t>16. Diversification Candidate: TotalEnergies Marketing Kenya (TOTL)</w:t>
      </w:r>
    </w:p>
    <w:p>
      <w:pPr>
        <w:pStyle w:val="BodyText"/>
        <w:spacing w:after="120" w:line="259" w:lineRule="auto"/>
        <w:jc w:val="both"/>
      </w:pPr>
      <w:r>
        <w:t>TotalEnergies Marketing Kenya adds downstream energy exposure rather than electricity generation. It closed at KES 49.65 on 9 September, with 20,069 shares traded [1]. Its FY2025 financial information supports a KES 3.45 dividend basis [22], which gives an indicative yield of approximately 6.95% at the reference price. The attraction is not that fuel distribution is risk-free; it is that its revenue drivers differ from those of the three banks and Safaricom.</w:t>
      </w:r>
    </w:p>
    <w:p>
      <w:pPr>
        <w:pStyle w:val="BodyText"/>
        <w:spacing w:after="120" w:line="259" w:lineRule="auto"/>
        <w:jc w:val="both"/>
      </w:pPr>
      <w:r>
        <w:t>The company should be monitored for retail-fuel volumes, lubricants, commercial customers, margins, working-capital requirements and the effect of currency and global oil-price changes. Kenya's petroleum pricing and tax environment can compress or delay margin realization, while sharp changes in oil prices can change working-capital needs. Liquidity is adequate for a small retail position but substantially below Safaricom, Equity or KCB. For the next increment of capital, TOTL is a high-priority diversifier, but a staged entry remains preferable after the market's strong 2026 rerating.</w:t>
      </w:r>
    </w:p>
    <w:p>
      <w:pPr>
        <w:pStyle w:val="Heading1"/>
        <w:keepNext/>
      </w:pPr>
      <w:r>
        <w:t>17. Diversification Candidate: Jubilee Holdings (JUB)</w:t>
      </w:r>
    </w:p>
    <w:p>
      <w:pPr>
        <w:pStyle w:val="BodyText"/>
        <w:spacing w:after="120" w:line="259" w:lineRule="auto"/>
        <w:jc w:val="both"/>
      </w:pPr>
      <w:r>
        <w:t>Jubilee Holdings fills another clear gap: insurance. At KES 412.25, it is one of the higher-priced watchlist shares and traded only 15,484 shares on 9 September [1]. The FY2025 results showed profit before tax rising 15% to KES 7.2 billion, net profit rising 18% to KES 5.6 billion and an ordinary dividend of KES 15 per share, up 11% [21]. The resulting indicative yield is about 3.64%, which is below the banking and tobacco yields in the core.</w:t>
      </w:r>
    </w:p>
    <w:p>
      <w:pPr>
        <w:pStyle w:val="BodyText"/>
        <w:spacing w:after="120" w:line="259" w:lineRule="auto"/>
        <w:jc w:val="both"/>
      </w:pPr>
      <w:r>
        <w:t>That lower yield is precisely why Jubilee should be assessed as a dividend-growth and diversification candidate rather than an income maximizer. Insurance earnings are driven by underwriting, claims, investment returns, capital management and regional operations, so they broaden the portfolio's financial exposure beyond lending. The company also has asset-management exposure. Risks include claims inflation, investment-market volatility, regulatory capital requirements and relatively low trading liquidity. Jubilee deserves a high-priority watch status when the objective is portfolio quality rather than simply maximizing the first year's cash yield.</w:t>
      </w:r>
    </w:p>
    <w:p>
      <w:pPr>
        <w:pStyle w:val="Heading1"/>
        <w:keepNext/>
      </w:pPr>
      <w:r>
        <w:t>18. Diversification Candidate: BOC Kenya (BOC)</w:t>
      </w:r>
    </w:p>
    <w:p>
      <w:pPr>
        <w:pStyle w:val="BodyText"/>
        <w:spacing w:after="120" w:line="259" w:lineRule="auto"/>
        <w:jc w:val="both"/>
      </w:pPr>
      <w:r>
        <w:t>BOC Kenya offers industrial and medical-gases exposure and a comparatively strong cash distribution. The share closed at KES 198 on 9 September, but only 2,839 shares traded that day [1]. BOC's dividend record shows a KES 2.50 interim distribution associated with the prior cycle and a KES 10.35 final distribution paid in July 2026; together those components provide a FY2025-style annual basis of about KES 12.85, while a KES 4.00 interim dividend for the subsequent cycle was also announced for September 2026 [23], [24]. Using KES 12.85 against KES 198 gives an indicative full-year yield of about 6.49%.</w:t>
      </w:r>
    </w:p>
    <w:p>
      <w:pPr>
        <w:pStyle w:val="BodyText"/>
        <w:spacing w:after="120" w:line="259" w:lineRule="auto"/>
        <w:jc w:val="both"/>
      </w:pPr>
      <w:r>
        <w:t>The attraction is the combination of industrial exposure and cash generation. The constraint is liquidity. A last-traded price in a thin counter may not represent the price available for a meaningful purchase or sale, and a market order can cause avoidable slippage. For that reason BOC is a diversifier but liquidity-constrained: it belongs on the watchlist, preferably with patient limit orders and modest position sizing. The investor should also monitor payout ratios and distinguish a growing recurring dividend from temporarily elevated distributions.</w:t>
      </w:r>
    </w:p>
    <w:p>
      <w:pPr>
        <w:pStyle w:val="Heading1"/>
        <w:keepNext/>
      </w:pPr>
      <w:r>
        <w:t>19. Diversification Candidate: Kakuzi (KUKZ)</w:t>
      </w:r>
    </w:p>
    <w:p>
      <w:pPr>
        <w:pStyle w:val="BodyText"/>
        <w:spacing w:after="120" w:line="259" w:lineRule="auto"/>
        <w:jc w:val="both"/>
      </w:pPr>
      <w:r>
        <w:t>Kakuzi is an agriculture and export-diversification candidate. It closed at KES 438.25 on 9 September and only 1,683 shares traded [1], so liquidity is a much larger concern than with large banks or utilities. For FY2025, Kakuzi returned to profit with KES 387.5 million after tax after recording a KES 131.6 million loss in the preceding year. The board recommended a first and final KES 16 dividend per share, double the prior year's payout [26]. At the reference price, that is an indicative yield of about 3.65%.</w:t>
      </w:r>
    </w:p>
    <w:p>
      <w:pPr>
        <w:pStyle w:val="BodyText"/>
        <w:spacing w:after="120" w:line="259" w:lineRule="auto"/>
        <w:jc w:val="both"/>
      </w:pPr>
      <w:r>
        <w:t>Kakuzi's value in a broader portfolio is its exposure to avocado, macadamia, blueberry and other agricultural/export activities. These businesses may respond differently from domestic credit and telecom demand, but they introduce new risks: weather, crop yields, freight, phytosanitary rules, global prices, foreign exchange and geopolitical disruption to export routes. The 2025 rebound is encouraging, but one strong year should not be extrapolated automatically. Kakuzi is therefore a selective-entry diversifier rather than a high-yield target.</w:t>
      </w:r>
    </w:p>
    <w:p>
      <w:pPr>
        <w:pStyle w:val="Heading1"/>
        <w:keepNext/>
      </w:pPr>
      <w:r>
        <w:t>20. Secondary Diversifier: Carbacid Investments (CARB)</w:t>
      </w:r>
    </w:p>
    <w:p>
      <w:pPr>
        <w:pStyle w:val="BodyText"/>
        <w:spacing w:after="120" w:line="259" w:lineRule="auto"/>
        <w:jc w:val="both"/>
      </w:pPr>
      <w:r>
        <w:t>Carbacid Investments is an additional industrial candidate that was not in the original watchlist but improves the sector map. It closed at KES 43.50 with 45,231 shares traded on 9 September [1]. Its FY2025 annual report records profit after tax of roughly KES 1.0 billion and a proposed final dividend of KES 2.00 per share, up from KES 1.70 [34]. Against the reference price, the indicative yield is about 4.60%.</w:t>
      </w:r>
    </w:p>
    <w:p>
      <w:pPr>
        <w:pStyle w:val="BodyText"/>
        <w:spacing w:after="120" w:line="259" w:lineRule="auto"/>
        <w:jc w:val="both"/>
      </w:pPr>
      <w:r>
        <w:t>The operating business is niche—carbon dioxide and related industrial applications—while the group also has an investment portfolio, meaning reported value can be influenced by listed-market performance. The annual report also noted expansion into non-traditional regional markets and benefits from lower power costs following solar investment [34]. Carbacid does not need to be a first watchlist purchase, but it is useful as a secondary industrial diversifier because its operating economics are distinct from banks, telecoms and beverages. Risks include niche-market concentration, mark-to-market volatility in investments and moderate liquidity.</w:t>
      </w:r>
    </w:p>
    <w:p>
      <w:pPr>
        <w:pStyle w:val="Heading1"/>
        <w:keepNext/>
      </w:pPr>
      <w:r>
        <w:t>21. Banking Alternative: KCB Group (KCB)</w:t>
      </w:r>
    </w:p>
    <w:p>
      <w:pPr>
        <w:pStyle w:val="BodyText"/>
        <w:spacing w:after="120" w:line="259" w:lineRule="auto"/>
        <w:jc w:val="both"/>
      </w:pPr>
      <w:r>
        <w:t>KCB is arguably the strongest large-bank candidate outside the core, but it should be treated as a replacement candidate because the portfolio already has 45% in banks. KCB closed at KES 94.25 with approximately 1.43 million shares traded [1], giving it excellent liquidity. The FY2025 integrated report recorded record net profit and a KES 7.00 total distribution. Crucially, the KES 7.00 comprised KES 4.00 of ordinary dividends and KES 3.00 of special dividends linked to the sale of National Bank of Kenya [16], [17]. The headline yield is therefore about 7.43%, but the normalized ordinary yield is closer to 4.24% at the September price.</w:t>
      </w:r>
    </w:p>
    <w:p>
      <w:pPr>
        <w:pStyle w:val="BodyText"/>
        <w:spacing w:after="120" w:line="259" w:lineRule="auto"/>
        <w:jc w:val="both"/>
      </w:pPr>
      <w:r>
        <w:t>This is a textbook example of why dividend quality matters. Treating the KES 3 special component as recurring would overstate sustainable income by 75% relative to the ordinary KES 4 base. KCB's regional scale, digital activity and strong earnings remain attractive; however, the price had also rerated substantially by September. The correct watchlist role is 'bank replacement / valuation watch': compare its forward earnings, asset quality, return on equity and ordinary dividend prospects with Equity, Co-op and Standard Chartered before changing the core.</w:t>
      </w:r>
    </w:p>
    <w:p>
      <w:pPr>
        <w:pStyle w:val="Heading1"/>
        <w:keepNext/>
      </w:pPr>
      <w:r>
        <w:t>22. Banking Alternative: Stanbic Holdings (SBIC)</w:t>
      </w:r>
    </w:p>
    <w:p>
      <w:pPr>
        <w:pStyle w:val="BodyText"/>
        <w:spacing w:after="120" w:line="259" w:lineRule="auto"/>
        <w:jc w:val="both"/>
      </w:pPr>
      <w:r>
        <w:t>Stanbic Holdings is the most compelling pure-income bank alternative in the watchlist. It closed at KES 294.50 with 225,455 shares traded on 9 September [1]. The 2026 AGM material confirms an interim dividend of KES 3.80 and a final dividend of KES 18.55 for FY2025, for a total of KES 22.35 per share [18]. At the reference price, that corresponds to an indicative yield of approximately 7.59%.</w:t>
      </w:r>
    </w:p>
    <w:p>
      <w:pPr>
        <w:pStyle w:val="BodyText"/>
        <w:spacing w:after="120" w:line="259" w:lineRule="auto"/>
        <w:jc w:val="both"/>
      </w:pPr>
      <w:r>
        <w:t>The difficulty is not the income profile but portfolio overlap. Standard Chartered already occupies the high-income bank role, while Equity and Co-op represent regional/growth and domestic/co-operative banking. Adding Stanbic without reducing another bank would increase exposure to the same macro variables. Stanbic should therefore be monitored as an alternative to Standard Chartered or as a future bank allocation if the total financial-sector weight is first reduced elsewhere. Its liquidity is adequate, but the September price was near the upper end of its recent trading range, reinforcing a patient-entry approach.</w:t>
      </w:r>
    </w:p>
    <w:p>
      <w:pPr>
        <w:pStyle w:val="Heading1"/>
        <w:keepNext/>
      </w:pPr>
      <w:r>
        <w:t>23. Banking Alternative and Event Watch: NCBA Group (NCBA)</w:t>
      </w:r>
    </w:p>
    <w:p>
      <w:pPr>
        <w:pStyle w:val="BodyText"/>
        <w:spacing w:after="120" w:line="259" w:lineRule="auto"/>
        <w:jc w:val="both"/>
      </w:pPr>
      <w:r>
        <w:t>NCBA closed at KES 90.75 on 9 September with 39,437 shares traded [1]. Its FY2025 annual report records KES 2.50 interim plus KES 4.60 final, bringing the total dividend to KES 7.10 per share [19]. At the reference price, that equates to an indicative yield of about 7.82%, one of the stronger headline yields among the ordinary bank distributions in this watchlist. FY2025 profit after tax rose 7% to KES 23.4 billion, operating income rose 17%, and digital-loan disbursements reached KES 1.4 trillion, though credit-loss provisions also rose materially [20].</w:t>
      </w:r>
    </w:p>
    <w:p>
      <w:pPr>
        <w:pStyle w:val="BodyText"/>
        <w:spacing w:after="120" w:line="259" w:lineRule="auto"/>
        <w:jc w:val="both"/>
      </w:pPr>
      <w:r>
        <w:t>NCBA also carries a corporate-event dimension because the group's shareholder-information materials include a proposed Nedbank transaction [19], [20]. Such a transaction can create upside, uncertainty or both; investors should monitor regulatory approvals, offer structure, minority-shareholder implications and the post-transaction strategy rather than speculating on headlines. Even without the event, NCBA has a credible income case, but the core portfolio does not need another bank automatically. Its watch status is bank alternative / event watch.</w:t>
      </w:r>
    </w:p>
    <w:p>
      <w:pPr>
        <w:pStyle w:val="Heading1"/>
        <w:keepNext/>
      </w:pPr>
      <w:r>
        <w:t>24. Banking Alternatives: I&amp;M Group, Absa Kenya and DTB</w:t>
      </w:r>
    </w:p>
    <w:p>
      <w:pPr>
        <w:pStyle w:val="BodyText"/>
        <w:spacing w:after="120" w:line="259" w:lineRule="auto"/>
        <w:jc w:val="both"/>
      </w:pPr>
      <w:r>
        <w:t>I&amp;M Group combines a rising payout with earnings growth. Its FY2025 audited statements show dividend per share increasing from KES 3.00 to KES 3.75 and group profit after tax attributable to shareholders rising materially [29]. At KES 80.25, the KES 3.75 dividend implies about 4.67%. The yield is not exceptional compared with NCBA or Stanbic, but the consistent progression is valuable: external reporting described FY2025 as the fifth consecutive annual payout increase. I&amp;M therefore belongs on a growth-bank watchlist rather than a highest-yield list.</w:t>
      </w:r>
    </w:p>
    <w:p>
      <w:pPr>
        <w:pStyle w:val="BodyText"/>
        <w:spacing w:after="120" w:line="259" w:lineRule="auto"/>
        <w:jc w:val="both"/>
      </w:pPr>
      <w:r>
        <w:t>Absa Kenya closed at KES 34.00 and traded 203,211 shares [1]. FY2025 profit increased about 10% to KES 22.9 billion, while the total dividend rose 17.1% to KES 2.05 per share—KES 0.20 interim and KES 1.85 final [30], [31]. That produces an indicative yield of approximately 6.03%. It is a credible income alternative, but because the share price has also rerated, the investor should compare forward earnings and payout capacity rather than buying solely from the trailing yield.</w:t>
      </w:r>
    </w:p>
    <w:p>
      <w:pPr>
        <w:pStyle w:val="BodyText"/>
        <w:spacing w:after="120" w:line="259" w:lineRule="auto"/>
        <w:jc w:val="both"/>
      </w:pPr>
      <w:r>
        <w:t>Diamond Trust Bank is another useful comparator. DTB reported FY2025 profit after tax of KES 10.7 billion, up 21%, and increased the dividend to KES 9.00 per share [33]. At KES 191, the indicative yield is about 4.71%, while 540,090 shares traded on 9 September [1], unusually strong liquidity for a mid-sized bank counter. DTB's lower payout ratio can leave more capital for growth, but that also means lower immediate income. Collectively, I&amp;M, Absa and DTB give the investor a meaningful comparison set when deciding whether Equity, Co-op or Standard Chartered still deserve their core allocations.</w:t>
      </w:r>
    </w:p>
    <w:p>
      <w:pPr>
        <w:pStyle w:val="Heading1"/>
        <w:keepNext/>
      </w:pPr>
      <w:r>
        <w:t>25. Higher-Risk/Value Watch: Kenya Power (KPLC)</w:t>
      </w:r>
    </w:p>
    <w:p>
      <w:pPr>
        <w:pStyle w:val="BodyText"/>
        <w:spacing w:after="120" w:line="259" w:lineRule="auto"/>
        <w:jc w:val="both"/>
      </w:pPr>
      <w:r>
        <w:t>Kenya Power is a turnaround/value watch rather than a conventional dividend-growth holding. The share closed at KES 21.45 and was one of the most liquid names on 9 September, with about 3.08 million shares traded [1]. Its audited FY2025 report states that a KES 0.20 interim dividend was paid and a KES 0.80 final dividend was recommended, producing KES 1.00 per ordinary share for the year [25]. At the reference price, the trailing yield is about 4.66%.</w:t>
      </w:r>
    </w:p>
    <w:p>
      <w:pPr>
        <w:pStyle w:val="BodyText"/>
        <w:spacing w:after="120" w:line="259" w:lineRule="auto"/>
        <w:jc w:val="both"/>
      </w:pPr>
      <w:r>
        <w:t>The restored dividend is significant because the company had previously gone through years of financial stress and suspended ordinary distributions. However, a turnaround thesis is fundamentally different from a stable-income thesis. The investor must monitor operating cash generation, collections, system losses, debt, foreign-currency exposure, tariff decisions and government policy. Moreover, as of the 10 September 2026 research date, audited FY2026 results had not yet been published; it would be inappropriate to project the FY2025 payout mechanically. KPLC is therefore a liquid but higher-risk watchlist candidate whose investment case depends on continued balance-sheet and operational improvement.</w:t>
      </w:r>
    </w:p>
    <w:p>
      <w:pPr>
        <w:pStyle w:val="Heading1"/>
        <w:keepNext/>
      </w:pPr>
      <w:r>
        <w:t>26. Higher-Risk Income Watch: Williamson Tea Kenya (WTK)</w:t>
      </w:r>
    </w:p>
    <w:p>
      <w:pPr>
        <w:pStyle w:val="BodyText"/>
        <w:spacing w:after="120" w:line="259" w:lineRule="auto"/>
        <w:jc w:val="both"/>
      </w:pPr>
      <w:r>
        <w:t>Williamson Tea closed at KES 159 with 14,856 shares traded [1]. The company declared a KES 15 per share dividend for the year ended March 2026, creating an eye-catching indicative yield of about 9.43% [27], [28]. The danger is that the payout exceeded annual net income; Business Daily reported that Williamson and Kapchorua used retained earnings to support unusually large distributions [28]. That makes the yield qualitatively different from a bank paying a moderate share of recurring earnings.</w:t>
      </w:r>
    </w:p>
    <w:p>
      <w:pPr>
        <w:pStyle w:val="BodyText"/>
        <w:spacing w:after="120" w:line="259" w:lineRule="auto"/>
        <w:jc w:val="both"/>
      </w:pPr>
      <w:r>
        <w:t>WTK is therefore a useful case study in the dividend trap. A high cash payment can be genuine and still be non-repeatable. Tea prices, production volumes, labour costs, weather, currency movements and trade access can move earnings sharply between years. A prudent watchlist should record the KES 15 distribution but normalize expectations unless future operating earnings demonstrate that the payout can be covered. The status is speculative income watch: potentially attractive after deeper analysis, but not suitable for automatic inclusion solely because the trailing yield is near double digits.</w:t>
      </w:r>
    </w:p>
    <w:p>
      <w:pPr>
        <w:pStyle w:val="Heading1"/>
        <w:keepNext/>
      </w:pPr>
      <w:r>
        <w:t>27. Higher-Risk Momentum Watch: Car &amp; General (CGEN)</w:t>
      </w:r>
    </w:p>
    <w:p>
      <w:pPr>
        <w:pStyle w:val="BodyText"/>
        <w:spacing w:after="120" w:line="259" w:lineRule="auto"/>
        <w:jc w:val="both"/>
      </w:pPr>
      <w:r>
        <w:t>Car &amp; General is a particularly important 'wait' candidate because its 2026 share-price behaviour can overwhelm an otherwise improving fundamental story. CGEN closed at KES 281 on 9 September with 12,794 shares traded [1]. Dividend data show an annual FY2025 distribution of about KES 3.42 per share [32]. At KES 281, that is only about a 1.22% trailing yield. Market data showed the share had advanced several hundred percent during 2026 before the research date, producing exceptional volatility.</w:t>
      </w:r>
    </w:p>
    <w:p>
      <w:pPr>
        <w:pStyle w:val="BodyText"/>
        <w:spacing w:after="120" w:line="259" w:lineRule="auto"/>
        <w:jc w:val="both"/>
      </w:pPr>
      <w:r>
        <w:t>The lesson is that a strong company result and a strong share price are not the same thing as an attractive entry price. Even if earnings have improved substantially, a buyer after a vertical rally assumes considerable valuation and mean-reversion risk. The dividend provides little downside cushion at the current price. CGEN therefore remains on the watchlist because its automotive, equipment and distribution businesses can diversify the portfolio, but the appropriate research status is speculative / wait. A future pullback accompanied by sustained earnings could change the risk-reward profile; momentum alone should not.</w:t>
      </w:r>
    </w:p>
    <w:p>
      <w:pPr>
        <w:pStyle w:val="Heading1"/>
        <w:keepNext/>
      </w:pPr>
      <w:r>
        <w:t>28. Ranking the Watchlist by Portfolio Function</w:t>
      </w:r>
    </w:p>
    <w:p>
      <w:pPr>
        <w:pStyle w:val="BodyText"/>
        <w:spacing w:after="120" w:line="259" w:lineRule="auto"/>
        <w:jc w:val="both"/>
      </w:pPr>
      <w:r>
        <w:t>The watchlist should be ranked according to what the portfolio lacks rather than according to yield. For diversification, KenGen is first because it introduces power generation and offers a meaningful current dividend. Jubilee follows because insurance changes the earnings mix without merely adding another lender. TotalEnergies is also attractive because downstream energy cash flows differ from the core sectors. BOC, Kakuzi and Carbacid are useful second-line diversifiers, but their lower liquidity or narrower business models justify smaller position sizes and more patient execution.</w:t>
      </w:r>
    </w:p>
    <w:p>
      <w:pPr>
        <w:pStyle w:val="BodyText"/>
        <w:spacing w:after="120" w:line="259" w:lineRule="auto"/>
        <w:jc w:val="both"/>
      </w:pPr>
      <w:r>
        <w:t>Among banks, the ranking depends on the role being replaced. For high income, Stanbic and NCBA compare strongly with Standard Chartered. For scale and regional banking, KCB compares directly with Equity but its FY2025 special dividend must be removed when normalizing yield. I&amp;M provides an attractive dividend-growth record, Absa combines income and profitability, and DTB combines a rising payout with retained capital and strong liquidity. The investor should not infer that the highest-ranked bank should simply be added; the decision should be framed as 'which bank best deserves the existing bank allocation?'</w:t>
      </w:r>
    </w:p>
    <w:p>
      <w:pPr>
        <w:pStyle w:val="BodyText"/>
        <w:spacing w:after="120" w:line="259" w:lineRule="auto"/>
        <w:jc w:val="both"/>
      </w:pPr>
      <w:r>
        <w:t>The higher-risk group—KPLC, Williamson Tea and Car &amp; General—requires explicit thesis validation. KPLC must demonstrate that the turnaround remains durable; WTK must demonstrate dividend coverage; CGEN must demonstrate that earnings can justify the post-rally valuation. These are precisely the situations where a watchlist prevents impulsive buying: the investor has already defined what evidence must improve before capital is committed.</w:t>
      </w:r>
    </w:p>
    <w:p>
      <w:pPr>
        <w:pStyle w:val="Heading1"/>
        <w:keepNext/>
      </w:pPr>
      <w:r>
        <w:t>29. Suggested Watchlist Monitoring Framework</w:t>
      </w:r>
    </w:p>
    <w:p>
      <w:pPr>
        <w:pStyle w:val="BodyText"/>
        <w:spacing w:after="120" w:line="259" w:lineRule="auto"/>
        <w:jc w:val="both"/>
      </w:pPr>
      <w:r>
        <w:t>A useful watchlist records not only price but the condition that would make the investment case stronger or weaker. For every company, update five fields after each results period: earnings trend, dividend per share, payout quality, balance-sheet risk and current price/liquidity. A sixth field should record the portfolio consequence of buying the stock. For example, purchasing KenGen lowers the relative bank weight; purchasing KCB increases it. The same KES 10,000 therefore has a different diversification effect depending on where it is deployed.</w:t>
      </w:r>
    </w:p>
    <w:p>
      <w:pPr>
        <w:pStyle w:val="BodyText"/>
        <w:spacing w:after="120" w:line="259" w:lineRule="auto"/>
        <w:jc w:val="both"/>
      </w:pPr>
      <w:r>
        <w:t>For dividend quality, classify distributions as ordinary recurring, ordinary but cyclical, or special/non-recurring. KCB's KES 3 special component belongs in the third category. NSE PLC's KES 0.27 special component should be treated similarly. Williamson Tea's KES 15 is ordinary in legal form but economically requires caution because it exceeded annual profit. Such classification prevents a mechanical spreadsheet from presenting all shillings of dividend as equally repeatable.</w:t>
      </w:r>
    </w:p>
    <w:p>
      <w:pPr>
        <w:pStyle w:val="BodyText"/>
        <w:spacing w:after="120" w:line="259" w:lineRule="auto"/>
        <w:jc w:val="both"/>
      </w:pPr>
      <w:r>
        <w:t>For price discipline, avoid a single rigid 'buy price' unsupported by valuation. Instead, use a range of evidence: historical and forward earnings, return on equity/capital, payout ratio, balance-sheet quality, recent price range, liquidity and expected dividend. A price decline caused by temporary market volatility can improve the entry; a price decline caused by deteriorating fundamentals may not. DCA should only be applied after the business passes the fundamental screen.</w:t>
      </w:r>
    </w:p>
    <w:p>
      <w:pPr>
        <w:pStyle w:val="Heading1"/>
        <w:keepNext/>
      </w:pPr>
      <w:r>
        <w:t>30. How Future Capital Could Expand the Core</w:t>
      </w:r>
    </w:p>
    <w:p>
      <w:pPr>
        <w:pStyle w:val="BodyText"/>
        <w:spacing w:after="120" w:line="259" w:lineRule="auto"/>
        <w:jc w:val="both"/>
      </w:pPr>
      <w:r>
        <w:t>If an additional KES 50,000–100,000 becomes available after the initial core is established, the most coherent expansion is not to repeat the original weights. New money can be used to correct concentration. A reasonable sequence for deeper research is KenGen, Jubilee, TotalEnergies, then one selected bank alternative only if it replaces or offsets an existing bank allocation, followed by a small industrial position such as BOC or Carbacid. Kakuzi can be considered when liquidity and valuation permit. This sequence would gradually transform the portfolio from a bank-heavy dividend basket into a more balanced Kenyan equity allocation.</w:t>
      </w:r>
    </w:p>
    <w:p>
      <w:pPr>
        <w:pStyle w:val="BodyText"/>
        <w:spacing w:after="120" w:line="259" w:lineRule="auto"/>
        <w:jc w:val="both"/>
      </w:pPr>
      <w:r>
        <w:t>The precise future allocation should depend on the portfolio weights at that time. If banks have underperformed and fallen from 45% to 35%, a high-quality bank alternative may be acceptable. If banks have rallied and risen above 50%, new capital should overwhelmingly favour non-bank sectors. The watchlist therefore works best when connected to portfolio weights, not as a standalone ranking table.</w:t>
      </w:r>
    </w:p>
    <w:p>
      <w:pPr>
        <w:pStyle w:val="BodyText"/>
        <w:spacing w:after="120" w:line="259" w:lineRule="auto"/>
        <w:jc w:val="both"/>
      </w:pPr>
      <w:r>
        <w:t>The same principle applies to dividend reinvestment. Cash received from BAT does not have to buy BAT; cash received from Standard Chartered does not have to buy another bank. Reinvesting into the most underweight high-quality sector allows dividend income to become a rebalancing mechanism. Over time this can reduce concentration without triggering sales and their associated execution costs.</w:t>
      </w:r>
    </w:p>
    <w:p>
      <w:pPr>
        <w:pStyle w:val="Heading1"/>
        <w:keepNext/>
      </w:pPr>
      <w:r>
        <w:t>31. Part 2 Conclusion</w:t>
      </w:r>
    </w:p>
    <w:p>
      <w:pPr>
        <w:pStyle w:val="BodyText"/>
        <w:spacing w:after="120" w:line="259" w:lineRule="auto"/>
        <w:jc w:val="both"/>
      </w:pPr>
      <w:r>
        <w:t>The detailed watchlist expands the opportunity set without confusing observation with ownership. KenGen, Jubilee and TotalEnergies are the strongest first-line diversification candidates because they add energy and insurance exposures missing from the core. BOC, Kakuzi and Carbacid extend industrial and agricultural diversification but require greater attention to liquidity. KCB, Stanbic, NCBA, I&amp;M, Absa and DTB are credible banks, yet most should be viewed as alternatives to existing bank positions rather than automatic additions. Kenya Power, Williamson Tea and Car &amp; General belong in the higher-risk group because their investment cases depend on a turnaround, dividend coverage or valuation normalization.</w:t>
      </w:r>
    </w:p>
    <w:p>
      <w:pPr>
        <w:pStyle w:val="BodyText"/>
        <w:spacing w:after="120" w:line="259" w:lineRule="auto"/>
        <w:jc w:val="both"/>
      </w:pPr>
      <w:r>
        <w:t>The central lesson is that a watchlist should improve decision quality. It should force the investor to ask why a company belongs in the portfolio, what source of return is expected, whether the dividend is recurring, what risk would invalidate the thesis, and how the purchase changes total sector exposure. When those questions are answered consistently, the KES 100,000 DCA portfolio and the watchlist become one integrated process: the core holds today's preferred exposures, while the watchlist provides disciplined alternatives for tomorrow.</w:t>
      </w:r>
    </w:p>
    <w:p>
      <w:pPr>
        <w:pStyle w:val="Heading1"/>
        <w:keepNext/>
      </w:pPr>
      <w:r>
        <w:t>32. Consolidated Priority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90" w:type="dxa"/>
              <w:bottom w:w="70" w:type="dxa"/>
              <w:end w:w="90" w:type="dxa"/>
            </w:tcMar>
          </w:tcPr>
          <w:p>
            <w:r>
              <w:rPr>
                <w:b/>
                <w:color w:val="FFFFFF"/>
                <w:sz w:val="17"/>
              </w:rPr>
              <w:t>Research bucket</w:t>
            </w:r>
          </w:p>
        </w:tc>
        <w:tc>
          <w:tcPr>
            <w:tcW w:type="dxa" w:w="3389"/>
            <w:shd w:fill="1F4E78"/>
            <w:vAlign w:val="center"/>
            <w:tcMar>
              <w:top w:w="70" w:type="dxa"/>
              <w:start w:w="90" w:type="dxa"/>
              <w:bottom w:w="70" w:type="dxa"/>
              <w:end w:w="90" w:type="dxa"/>
            </w:tcMar>
          </w:tcPr>
          <w:p>
            <w:r>
              <w:rPr>
                <w:b/>
                <w:color w:val="FFFFFF"/>
                <w:sz w:val="17"/>
              </w:rPr>
              <w:t>Counters</w:t>
            </w:r>
          </w:p>
        </w:tc>
        <w:tc>
          <w:tcPr>
            <w:tcW w:type="dxa" w:w="3389"/>
            <w:shd w:fill="1F4E78"/>
            <w:vAlign w:val="center"/>
            <w:tcMar>
              <w:top w:w="70" w:type="dxa"/>
              <w:start w:w="90" w:type="dxa"/>
              <w:bottom w:w="70" w:type="dxa"/>
              <w:end w:w="90" w:type="dxa"/>
            </w:tcMar>
          </w:tcPr>
          <w:p>
            <w:r>
              <w:rPr>
                <w:b/>
                <w:color w:val="FFFFFF"/>
                <w:sz w:val="17"/>
              </w:rPr>
              <w:t>Reason</w:t>
            </w:r>
          </w:p>
        </w:tc>
      </w:tr>
      <w:tr>
        <w:trPr>
          <w:cantSplit/>
        </w:trPr>
        <w:tc>
          <w:tcPr>
            <w:tcW w:type="dxa" w:w="3389"/>
            <w:vAlign w:val="center"/>
            <w:tcMar>
              <w:top w:w="70" w:type="dxa"/>
              <w:start w:w="90" w:type="dxa"/>
              <w:bottom w:w="70" w:type="dxa"/>
              <w:end w:w="90" w:type="dxa"/>
            </w:tcMar>
          </w:tcPr>
          <w:p>
            <w:r>
              <w:rPr>
                <w:sz w:val="17"/>
              </w:rPr>
              <w:t>First-line diversification research</w:t>
            </w:r>
          </w:p>
        </w:tc>
        <w:tc>
          <w:tcPr>
            <w:tcW w:type="dxa" w:w="3389"/>
            <w:vAlign w:val="center"/>
            <w:tcMar>
              <w:top w:w="70" w:type="dxa"/>
              <w:start w:w="90" w:type="dxa"/>
              <w:bottom w:w="70" w:type="dxa"/>
              <w:end w:w="90" w:type="dxa"/>
            </w:tcMar>
          </w:tcPr>
          <w:p>
            <w:r>
              <w:rPr>
                <w:sz w:val="17"/>
              </w:rPr>
              <w:t>KEGN, JUB, TOTL</w:t>
            </w:r>
          </w:p>
        </w:tc>
        <w:tc>
          <w:tcPr>
            <w:tcW w:type="dxa" w:w="3389"/>
            <w:vAlign w:val="center"/>
            <w:tcMar>
              <w:top w:w="70" w:type="dxa"/>
              <w:start w:w="90" w:type="dxa"/>
              <w:bottom w:w="70" w:type="dxa"/>
              <w:end w:w="90" w:type="dxa"/>
            </w:tcMar>
          </w:tcPr>
          <w:p>
            <w:r>
              <w:rPr>
                <w:sz w:val="17"/>
              </w:rPr>
              <w:t>Fills energy/insurance gaps; reasonable income contribution</w:t>
            </w:r>
          </w:p>
        </w:tc>
      </w:tr>
      <w:tr>
        <w:trPr>
          <w:cantSplit/>
        </w:trPr>
        <w:tc>
          <w:tcPr>
            <w:tcW w:type="dxa" w:w="3389"/>
            <w:shd w:fill="EAF2F8"/>
            <w:vAlign w:val="center"/>
            <w:tcMar>
              <w:top w:w="70" w:type="dxa"/>
              <w:start w:w="90" w:type="dxa"/>
              <w:bottom w:w="70" w:type="dxa"/>
              <w:end w:w="90" w:type="dxa"/>
            </w:tcMar>
          </w:tcPr>
          <w:p>
            <w:r>
              <w:rPr>
                <w:sz w:val="17"/>
              </w:rPr>
              <w:t>Second-line diversification research</w:t>
            </w:r>
          </w:p>
        </w:tc>
        <w:tc>
          <w:tcPr>
            <w:tcW w:type="dxa" w:w="3389"/>
            <w:shd w:fill="EAF2F8"/>
            <w:vAlign w:val="center"/>
            <w:tcMar>
              <w:top w:w="70" w:type="dxa"/>
              <w:start w:w="90" w:type="dxa"/>
              <w:bottom w:w="70" w:type="dxa"/>
              <w:end w:w="90" w:type="dxa"/>
            </w:tcMar>
          </w:tcPr>
          <w:p>
            <w:r>
              <w:rPr>
                <w:sz w:val="17"/>
              </w:rPr>
              <w:t>BOC, CARB, KUKZ</w:t>
            </w:r>
          </w:p>
        </w:tc>
        <w:tc>
          <w:tcPr>
            <w:tcW w:type="dxa" w:w="3389"/>
            <w:shd w:fill="EAF2F8"/>
            <w:vAlign w:val="center"/>
            <w:tcMar>
              <w:top w:w="70" w:type="dxa"/>
              <w:start w:w="90" w:type="dxa"/>
              <w:bottom w:w="70" w:type="dxa"/>
              <w:end w:w="90" w:type="dxa"/>
            </w:tcMar>
          </w:tcPr>
          <w:p>
            <w:r>
              <w:rPr>
                <w:sz w:val="17"/>
              </w:rPr>
              <w:t>Industrial/agricultural diversification; liquidity or niche-business constraints</w:t>
            </w:r>
          </w:p>
        </w:tc>
      </w:tr>
      <w:tr>
        <w:trPr>
          <w:cantSplit/>
        </w:trPr>
        <w:tc>
          <w:tcPr>
            <w:tcW w:type="dxa" w:w="3389"/>
            <w:vAlign w:val="center"/>
            <w:tcMar>
              <w:top w:w="70" w:type="dxa"/>
              <w:start w:w="90" w:type="dxa"/>
              <w:bottom w:w="70" w:type="dxa"/>
              <w:end w:w="90" w:type="dxa"/>
            </w:tcMar>
          </w:tcPr>
          <w:p>
            <w:r>
              <w:rPr>
                <w:sz w:val="17"/>
              </w:rPr>
              <w:t>Bank replacement comparison</w:t>
            </w:r>
          </w:p>
        </w:tc>
        <w:tc>
          <w:tcPr>
            <w:tcW w:type="dxa" w:w="3389"/>
            <w:vAlign w:val="center"/>
            <w:tcMar>
              <w:top w:w="70" w:type="dxa"/>
              <w:start w:w="90" w:type="dxa"/>
              <w:bottom w:w="70" w:type="dxa"/>
              <w:end w:w="90" w:type="dxa"/>
            </w:tcMar>
          </w:tcPr>
          <w:p>
            <w:r>
              <w:rPr>
                <w:sz w:val="17"/>
              </w:rPr>
              <w:t>SBIC, NCBA, KCB, ABSA, IMH, DTK</w:t>
            </w:r>
          </w:p>
        </w:tc>
        <w:tc>
          <w:tcPr>
            <w:tcW w:type="dxa" w:w="3389"/>
            <w:vAlign w:val="center"/>
            <w:tcMar>
              <w:top w:w="70" w:type="dxa"/>
              <w:start w:w="90" w:type="dxa"/>
              <w:bottom w:w="70" w:type="dxa"/>
              <w:end w:w="90" w:type="dxa"/>
            </w:tcMar>
          </w:tcPr>
          <w:p>
            <w:r>
              <w:rPr>
                <w:sz w:val="17"/>
              </w:rPr>
              <w:t>Evaluate against existing 45% bank allocation; do not simply add all</w:t>
            </w:r>
          </w:p>
        </w:tc>
      </w:tr>
      <w:tr>
        <w:trPr>
          <w:cantSplit/>
        </w:trPr>
        <w:tc>
          <w:tcPr>
            <w:tcW w:type="dxa" w:w="3389"/>
            <w:shd w:fill="EAF2F8"/>
            <w:vAlign w:val="center"/>
            <w:tcMar>
              <w:top w:w="70" w:type="dxa"/>
              <w:start w:w="90" w:type="dxa"/>
              <w:bottom w:w="70" w:type="dxa"/>
              <w:end w:w="90" w:type="dxa"/>
            </w:tcMar>
          </w:tcPr>
          <w:p>
            <w:r>
              <w:rPr>
                <w:sz w:val="17"/>
              </w:rPr>
              <w:t>Higher-risk / thesis-dependent</w:t>
            </w:r>
          </w:p>
        </w:tc>
        <w:tc>
          <w:tcPr>
            <w:tcW w:type="dxa" w:w="3389"/>
            <w:shd w:fill="EAF2F8"/>
            <w:vAlign w:val="center"/>
            <w:tcMar>
              <w:top w:w="70" w:type="dxa"/>
              <w:start w:w="90" w:type="dxa"/>
              <w:bottom w:w="70" w:type="dxa"/>
              <w:end w:w="90" w:type="dxa"/>
            </w:tcMar>
          </w:tcPr>
          <w:p>
            <w:r>
              <w:rPr>
                <w:sz w:val="17"/>
              </w:rPr>
              <w:t>KPLC, WTK, CGEN</w:t>
            </w:r>
          </w:p>
        </w:tc>
        <w:tc>
          <w:tcPr>
            <w:tcW w:type="dxa" w:w="3389"/>
            <w:shd w:fill="EAF2F8"/>
            <w:vAlign w:val="center"/>
            <w:tcMar>
              <w:top w:w="70" w:type="dxa"/>
              <w:start w:w="90" w:type="dxa"/>
              <w:bottom w:w="70" w:type="dxa"/>
              <w:end w:w="90" w:type="dxa"/>
            </w:tcMar>
          </w:tcPr>
          <w:p>
            <w:r>
              <w:rPr>
                <w:sz w:val="17"/>
              </w:rPr>
              <w:t>Turnaround, payout coverage or valuation/momentum risk must improve</w:t>
            </w:r>
          </w:p>
        </w:tc>
      </w:tr>
    </w:tbl>
    <w:p>
      <w:pPr>
        <w:pStyle w:val="Caption"/>
      </w:pPr>
      <w:r>
        <w:rPr>
          <w:i/>
        </w:rPr>
        <w:t>Table 9. Portfolio-aware priority matrix. The ranking reflects diversification need and dividend quality, not a prediction of short-term price performance.</w:t>
      </w:r>
    </w:p>
    <w:p>
      <w:pPr>
        <w:pStyle w:val="Heading1"/>
        <w:keepNext/>
      </w:pPr>
      <w:r>
        <w:t>IEEE References</w:t>
      </w:r>
    </w:p>
    <w:p>
      <w:pPr>
        <w:pStyle w:val="BodyText"/>
        <w:spacing w:after="80"/>
        <w:ind w:left="259" w:hanging="259"/>
      </w:pPr>
      <w:r>
        <w:t>[1] myStocks Mobile, “Market Pricelist — 09 Sep 2026,” Sep. 9, 2026. [Online]. Available: https://live.mystocks.co.ke/m/pricelist. [Accessed: Sep. 10, 2026].</w:t>
      </w:r>
    </w:p>
    <w:p>
      <w:pPr>
        <w:pStyle w:val="BodyText"/>
        <w:spacing w:after="80"/>
        <w:ind w:left="259" w:hanging="259"/>
      </w:pPr>
      <w:r>
        <w:t>[2] Republic of Kenya, “The Capital Markets (Licensing Requirements)(General) Regulations, 2025,” Legal Notice 197 of 2025, Kenya Law, Dec. 11, 2025. [Online]. Available: https://new.kenyalaw.org/akn/ke/act/ln/2025/197/eng@2025-12-11. [Accessed: Sep. 10, 2026].</w:t>
      </w:r>
    </w:p>
    <w:p>
      <w:pPr>
        <w:pStyle w:val="BodyText"/>
        <w:spacing w:after="80"/>
        <w:ind w:left="259" w:hanging="259"/>
      </w:pPr>
      <w:r>
        <w:t>[3] Capital Markets Authority, “Quarterly Capital Markets Statistical Bulletin, Q3 2025,” 2025. [Online]. Available: https://www.cmarcp.or.ke/images/bulletin/Statistical%20Bulletin/2025/CMA-Quarterly-Statistical-Bulletin-Q3.-2025.pdf. [Accessed: Sep. 10, 2026].</w:t>
      </w:r>
    </w:p>
    <w:p>
      <w:pPr>
        <w:pStyle w:val="BodyText"/>
        <w:spacing w:after="80"/>
        <w:ind w:left="259" w:hanging="259"/>
      </w:pPr>
      <w:r>
        <w:t>[4] Standard Chartered Bank Kenya, “How to use Dollar Cost Averaging to build long term wealth,” Wealth Insights. [Online]. Available: https://www.sc.com/ke/wealth-insights/dollar-cost-averaging/. [Accessed: Sep. 10, 2026].</w:t>
      </w:r>
    </w:p>
    <w:p>
      <w:pPr>
        <w:pStyle w:val="BodyText"/>
        <w:spacing w:after="80"/>
        <w:ind w:left="259" w:hanging="259"/>
      </w:pPr>
      <w:r>
        <w:t>[5] Republic of Kenya, “Income Tax Act,” Kenya Law, text as at Jul. 1, 2025. [Online]. Available: https://new.kenyalaw.org/akn/ke/act/1973/16/eng@2025-07-01. [Accessed: Sep. 10, 2026].</w:t>
      </w:r>
    </w:p>
    <w:p>
      <w:pPr>
        <w:pStyle w:val="BodyText"/>
        <w:spacing w:after="80"/>
        <w:ind w:left="259" w:hanging="259"/>
      </w:pPr>
      <w:r>
        <w:t>[6] Kenya Revenue Authority, “About Capital Gain Tax,” [Online]. Available: https://www.kra.go.ke/helping-tax-payers/faqs/capital-gain-taxes. [Accessed: Sep. 10, 2026].</w:t>
      </w:r>
    </w:p>
    <w:p>
      <w:pPr>
        <w:pStyle w:val="BodyText"/>
        <w:spacing w:after="80"/>
        <w:ind w:left="259" w:hanging="259"/>
      </w:pPr>
      <w:r>
        <w:t>[7] Safaricom PLC, “Safaricom PLC pays a record dividend at KES 80.13 billion for FY26,” 2026. [Online]. Available: https://www.safaricom.co.ke/media-center-landing/press-releases/safaricom-plc-pays-a-record-dividend-at-kes-80-13-billion-for-fy26. [Accessed: Sep. 10, 2026].</w:t>
      </w:r>
    </w:p>
    <w:p>
      <w:pPr>
        <w:pStyle w:val="BodyText"/>
        <w:spacing w:after="80"/>
        <w:ind w:left="259" w:hanging="259"/>
      </w:pPr>
      <w:r>
        <w:t>[8] Equity Group Holdings PLC, “Equity Group shareholders approve KSh 21.7 billion dividend, insurance expansion, and key governance resolutions at 22nd AGM,” Jun. 24, 2026. [Online]. Available: https://equitygroupholdings.com/nairobi-24th-june-2026-equity-group-holdings-plc-shareholders-have-approved-all-proposed-resolutions-tabled-at-the-22nd-annual-general-meeting-agm-including-dividend-payout-board-appointments-a/. [Accessed: Sep. 10, 2026].</w:t>
      </w:r>
    </w:p>
    <w:p>
      <w:pPr>
        <w:pStyle w:val="BodyText"/>
        <w:spacing w:after="80"/>
        <w:ind w:left="259" w:hanging="259"/>
      </w:pPr>
      <w:r>
        <w:t>[9] Co-operative Bank of Kenya Ltd., “Integrated Report 2025,” 2026. [Online]. Available: https://www.co-opbank.co.ke/wp-content/uploads/2026/05/2025-Co-op-Bank-Integrated-Report-Web.pdf. [Accessed: Sep. 10, 2026].</w:t>
      </w:r>
    </w:p>
    <w:p>
      <w:pPr>
        <w:pStyle w:val="BodyText"/>
        <w:spacing w:after="80"/>
        <w:ind w:left="259" w:hanging="259"/>
      </w:pPr>
      <w:r>
        <w:t>[10] Standard Chartered Bank Kenya Ltd., “Investor Relations — 2026 Financial Results &amp; Annual Reports,” 2026. [Online]. Available: https://www.sc.com/ke/investor-relations/. [Accessed: Sep. 10, 2026].</w:t>
      </w:r>
    </w:p>
    <w:p>
      <w:pPr>
        <w:pStyle w:val="BodyText"/>
        <w:spacing w:after="80"/>
        <w:ind w:left="259" w:hanging="259"/>
      </w:pPr>
      <w:r>
        <w:t>[11] BAT Kenya PLC, “Combined Annual and Sustainability Report 2025,” 2026. [Online]. Available: https://www.batkenya.com/content/dam/endmarkets/ke/en/download/investors-and-reporting/annual-reports/BATK_Combined_Annual_and_Sustainability_Report_2025.pdf. [Accessed: Sep. 10, 2026].</w:t>
      </w:r>
    </w:p>
    <w:p>
      <w:pPr>
        <w:pStyle w:val="BodyText"/>
        <w:spacing w:after="80"/>
        <w:ind w:left="259" w:hanging="259"/>
      </w:pPr>
      <w:r>
        <w:t>[12] East African Breweries PLC, “Financial Results — Full Year 2026,” 2026. [Online]. Available: https://www.eabl.com/investors/financial-results. [Accessed: Sep. 10, 2026].</w:t>
      </w:r>
    </w:p>
    <w:p>
      <w:pPr>
        <w:pStyle w:val="BodyText"/>
        <w:spacing w:after="80"/>
        <w:ind w:left="259" w:hanging="259"/>
      </w:pPr>
      <w:r>
        <w:t>[13] Nairobi Securities Exchange PLC, “Integrated Annual Report &amp; Financial Statements 2025,” 2026. [Online]. Available: https://assets.kenyanstocks.com/files/019e3f97-1629-7292-a473-52cafbe29252/NSE_2025_Integrated_Reports.pdf. [Accessed: Sep. 10, 2026].</w:t>
      </w:r>
    </w:p>
    <w:p>
      <w:pPr>
        <w:pStyle w:val="BodyText"/>
        <w:spacing w:after="80"/>
        <w:ind w:left="259" w:hanging="259"/>
      </w:pPr>
      <w:r>
        <w:t>[14] KenGen PLC, “Financial Reports — 2026,” 2026. [Online]. Available: https://www.kengen.co.ke/investor-relations/financial-information/. [Accessed: Sep. 10, 2026].</w:t>
      </w:r>
    </w:p>
    <w:p>
      <w:pPr>
        <w:pStyle w:val="BodyText"/>
        <w:spacing w:after="80"/>
        <w:ind w:left="259" w:hanging="259"/>
      </w:pPr>
      <w:r>
        <w:t>[15] Nairobi Securities Exchange PLC, “KenGen Plc — Audited Financial Results for the Year Ended 30 June 2026,” distributed via Public Technologies, Sep. 7, 2026. [Online]. Available: https://www.marketscreener.com/news/nairobi-securities-exchange-kengen-plc-a-audited-financial-results-for-the-year-ended-30-june-20-ce785bdbd18af42c. [Accessed: Sep. 10, 2026].</w:t>
      </w:r>
    </w:p>
    <w:p>
      <w:pPr>
        <w:pStyle w:val="BodyText"/>
        <w:spacing w:after="80"/>
        <w:ind w:left="259" w:hanging="259"/>
      </w:pPr>
      <w:r>
        <w:t>[16] KCB Group PLC, “2025 Integrated Report &amp; Financial Statements,” 2026. [Online]. Available: https://kcbgroup.com/. [Accessed: Sep. 10, 2026].</w:t>
      </w:r>
    </w:p>
    <w:p>
      <w:pPr>
        <w:pStyle w:val="BodyText"/>
        <w:spacing w:after="80"/>
        <w:ind w:left="259" w:hanging="259"/>
      </w:pPr>
      <w:r>
        <w:t>[17] KCB Group PLC, “KCB Group Shareholders Approve KShs. 22.5 Billion Dividend Payout,” May 21, 2026. [Online]. Available: https://kcbgroup.com/. [Accessed: Sep. 10, 2026].</w:t>
      </w:r>
    </w:p>
    <w:p>
      <w:pPr>
        <w:pStyle w:val="BodyText"/>
        <w:spacing w:after="80"/>
        <w:ind w:left="259" w:hanging="259"/>
      </w:pPr>
      <w:r>
        <w:t>[18] Stanbic Holdings PLC, “Summary of 2026 AGM Shareholders’ Questions &amp; Responses,” May 14, 2026. [Online]. Available: https://www.stanbicbank.co.ke/static_file/Kenya/Downloadable%20files/Stanbic%20Holdings%20PLC/AGM/2026/Stanbic-Holdings-Plc-2026-AGM-Shareholders-Questions-and-Responses.pdf. [Accessed: Sep. 10, 2026].</w:t>
      </w:r>
    </w:p>
    <w:p>
      <w:pPr>
        <w:pStyle w:val="BodyText"/>
        <w:spacing w:after="80"/>
        <w:ind w:left="259" w:hanging="259"/>
      </w:pPr>
      <w:r>
        <w:t>[19] NCBA Group PLC, “Annual 2025 Integrated Report,” 2026. [Online]. Available: https://ncbagroup.com/wp-content/uploads/2026/06/NCBA-Group-Plc-Annual-2025-Integrated-Report.pdf. [Accessed: Sep. 10, 2026].</w:t>
      </w:r>
    </w:p>
    <w:p>
      <w:pPr>
        <w:pStyle w:val="BodyText"/>
        <w:spacing w:after="80"/>
        <w:ind w:left="259" w:hanging="259"/>
      </w:pPr>
      <w:r>
        <w:t>[20] NCBA Group PLC, “NCBA Group PLC reports KES 23.4 billion in net profit, Dividend Per Share Up 30% and Launches New 5-Year Strategy,” Apr. 9, 2026. [Online]. Available: https://ncbagroup.com/blog/newsroom-article/ncba-group-plc-reports-kes-23-4-billion-in-net-profit-dividend-per-share-up-30-and-launches-new-5-year-strategy/. [Accessed: Sep. 10, 2026].</w:t>
      </w:r>
    </w:p>
    <w:p>
      <w:pPr>
        <w:pStyle w:val="BodyText"/>
        <w:spacing w:after="80"/>
        <w:ind w:left="259" w:hanging="259"/>
      </w:pPr>
      <w:r>
        <w:t>[21] Jubilee Holdings Ltd., “Jubilee Holdings Declares A Record Dividend Following 18% Increase in Net Profit,” Apr. 9, 2026. [Online]. Available: https://jubileeinsurance.com/group/newsroom/jubilee-holdings-declares-a-record-dividend-following-18-increase-in-net-profit/. [Accessed: Sep. 10, 2026].</w:t>
      </w:r>
    </w:p>
    <w:p>
      <w:pPr>
        <w:pStyle w:val="BodyText"/>
        <w:spacing w:after="80"/>
        <w:ind w:left="259" w:hanging="259"/>
      </w:pPr>
      <w:r>
        <w:t>[22] TotalEnergies Marketing Kenya PLC, “Financials,” 2026. [Online]. Available: https://totalenergies.ke/about-us/shareholder-information/financials. [Accessed: Sep. 10, 2026].</w:t>
      </w:r>
    </w:p>
    <w:p>
      <w:pPr>
        <w:pStyle w:val="BodyText"/>
        <w:spacing w:after="80"/>
        <w:ind w:left="259" w:hanging="259"/>
      </w:pPr>
      <w:r>
        <w:t>[23] BOC Kenya PLC, “Investor Relations,” 2026. [Online]. Available: https://www.boc.co.ke/our-business/investor-relations. [Accessed: Sep. 10, 2026].</w:t>
      </w:r>
    </w:p>
    <w:p>
      <w:pPr>
        <w:pStyle w:val="BodyText"/>
        <w:spacing w:after="80"/>
        <w:ind w:left="259" w:hanging="259"/>
      </w:pPr>
      <w:r>
        <w:t>[24] Morningstar, “BOC Kenya PLC Dividends,” 2026. [Online]. Available: https://www.morningstar.com/stocks/xnai/boc/dividends. [Accessed: Sep. 10, 2026].</w:t>
      </w:r>
    </w:p>
    <w:p>
      <w:pPr>
        <w:pStyle w:val="BodyText"/>
        <w:spacing w:after="80"/>
        <w:ind w:left="259" w:hanging="259"/>
      </w:pPr>
      <w:r>
        <w:t>[25] The Kenya Power and Lighting Company PLC, “Annual Report and Financial Statements for the Year Ended 30 June 2025,” 2025. [Online]. Available: https://kplc.co.ke/storage/01K9C11B50VR5T3KS48G2GYNQ0.pdf. [Accessed: Sep. 10, 2026].</w:t>
      </w:r>
    </w:p>
    <w:p>
      <w:pPr>
        <w:pStyle w:val="BodyText"/>
        <w:spacing w:after="80"/>
        <w:ind w:left="259" w:hanging="259"/>
      </w:pPr>
      <w:r>
        <w:t>[26] Kakuzi PLC, “Kakuzi Returns to Profit with KShs 387.5 million After Tax Earnings, With Double Dividends for Shareholders,” Mar. 25, 2026. [Online]. Available: https://www.kakuzi.co.ke/2026-kakuzi-returns-to-profit-with-kshs-387-5-million-after-tax-earnings-with-double-dividends-for-shareholders. [Accessed: Sep. 10, 2026].</w:t>
      </w:r>
    </w:p>
    <w:p>
      <w:pPr>
        <w:pStyle w:val="BodyText"/>
        <w:spacing w:after="80"/>
        <w:ind w:left="259" w:hanging="259"/>
      </w:pPr>
      <w:r>
        <w:t>[27] Williamson Tea Kenya PLC, “Investor Reports — 2026,” 2026. [Online]. Available: https://www.williamsontea.com/investor-reports/. [Accessed: Sep. 10, 2026].</w:t>
      </w:r>
    </w:p>
    <w:p>
      <w:pPr>
        <w:pStyle w:val="BodyText"/>
        <w:spacing w:after="80"/>
        <w:ind w:left="259" w:hanging="259"/>
      </w:pPr>
      <w:r>
        <w:t>[28] G. Ngigi, “Kapchorua, Williamson tap retained earnings to pay out mega dividends,” Business Daily Africa, Jun. 28, 2026. [Online]. Available: https://www.businessdailyafrica.com/bd/corporate/companies/kapchorua-williamson-tap-retained-earnings-to-pay-out-dividends-5512106. [Accessed: Sep. 10, 2026].</w:t>
      </w:r>
    </w:p>
    <w:p>
      <w:pPr>
        <w:pStyle w:val="BodyText"/>
        <w:spacing w:after="80"/>
        <w:ind w:left="259" w:hanging="259"/>
      </w:pPr>
      <w:r>
        <w:t>[29] I&amp;M Group PLC, “Audited Financial Statements for the Year Ended 31 December 2025,” Mar. 24, 2026. [Online]. Available: https://www.imbankgroup.com/wp-content/uploads/2026/03/im-bank-group-financials.pdf. [Accessed: Sep. 10, 2026].</w:t>
      </w:r>
    </w:p>
    <w:p>
      <w:pPr>
        <w:pStyle w:val="BodyText"/>
        <w:spacing w:after="80"/>
        <w:ind w:left="259" w:hanging="259"/>
      </w:pPr>
      <w:r>
        <w:t>[30] Absa Bank Kenya PLC, “Investor Relations — 2025 Annual Integrated Report,” 2026. [Online]. Available: https://www.absabank.co.ke/investor-relations/. [Accessed: Sep. 10, 2026].</w:t>
      </w:r>
    </w:p>
    <w:p>
      <w:pPr>
        <w:pStyle w:val="BodyText"/>
        <w:spacing w:after="80"/>
        <w:ind w:left="259" w:hanging="259"/>
      </w:pPr>
      <w:r>
        <w:t>[31] G. Ngigi, “Absa lifts dividend 17pc on net profit growth to Sh22.9bn,” Business Daily Africa, Mar. 4, 2026. [Online]. Available: https://www.businessdailyafrica.com/bd/corporate/companies/absa-lifts-dividend-17pc-on-net-profit-growth-to-sh22-9bn-5379836. [Accessed: Sep. 10, 2026].</w:t>
      </w:r>
    </w:p>
    <w:p>
      <w:pPr>
        <w:pStyle w:val="BodyText"/>
        <w:spacing w:after="80"/>
        <w:ind w:left="259" w:hanging="259"/>
      </w:pPr>
      <w:r>
        <w:t>[32] StockAnalysis.com, “Car &amp; General (Kenya) Dividend History, Dates &amp; Yield,” 2026. [Online]. Available: https://stockanalysis.com/quote/nase/CGEN/dividend/. [Accessed: Sep. 10, 2026].</w:t>
      </w:r>
    </w:p>
    <w:p>
      <w:pPr>
        <w:pStyle w:val="BodyText"/>
        <w:spacing w:after="80"/>
        <w:ind w:left="259" w:hanging="259"/>
      </w:pPr>
      <w:r>
        <w:t>[33] Diamond Trust Bank Kenya Ltd., “DTB pre-tax profit jumps by 26%, increases dividend to KShs 9 per share,” Mar. 23, 2026. [Online]. Available: https://dtbk.dtbafrica.com/news/dtb-press-release-financials. [Accessed: Sep. 10, 2026].</w:t>
      </w:r>
    </w:p>
    <w:p>
      <w:pPr>
        <w:pStyle w:val="BodyText"/>
        <w:spacing w:after="80"/>
        <w:ind w:left="259" w:hanging="259"/>
      </w:pPr>
      <w:r>
        <w:t>[34] Carbacid Investments PLC, “2025 Annual Report,” 2025. [Online]. Available: https://carbacid.com/documents/87/2025_Annual_Report.pdf. [Accessed: Sep. 10, 2026].</w:t>
      </w:r>
    </w:p>
    <w:p>
      <w:pPr>
        <w:pStyle w:val="BodyText"/>
        <w:spacing w:after="80"/>
        <w:ind w:left="259" w:hanging="259"/>
      </w:pPr>
      <w:r>
        <w:t>[35] Simply Wall St, “Kenyan (NSE) Market Analysis &amp; Valuation — Updated Sep. 9, 2026,” Sep. 9, 2026. [Online]. Available: https://simplywall.st/markets/ke. [Accessed: Sep. 10, 2026].</w:t>
      </w:r>
    </w:p>
    <w:p>
      <w:pPr>
        <w:pStyle w:val="Heading1"/>
        <w:keepNext/>
      </w:pPr>
      <w:r>
        <w:t>Important Research Limitation</w:t>
      </w:r>
    </w:p>
    <w:p>
      <w:pPr>
        <w:pStyle w:val="BodyText"/>
        <w:spacing w:after="120" w:line="259" w:lineRule="auto"/>
        <w:jc w:val="both"/>
      </w:pPr>
      <w:r>
        <w:t>This document is educational research, not personalized financial advice, a solicitation, or a guarantee of return. Prices are a dated snapshot; dividends can be reduced, cancelled or replaced by special distributions; company announcements can change after the research date. Before executing any trade, verify the current market price, the latest company announcement, applicable broker charges, tax status and the investor's own liquidity and risk requirements.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NSE Dividend-Growth DCA &amp; Watchlist Research | 10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NSE Dividend-Growth DCA &amp; Watchlist Research</dc:title>
  <dc:subject>KES 100,000 NSE dividend-growth DCA strategy and detailed watchlist with IEEE references</dc:subject>
  <dc:creator>OpenAI</dc:creator>
  <cp:keywords>NSE, Kenya, dividend growth, DCA, watchlist, IEEE</cp:keywords>
  <dc:description>generated by python-docx</dc:description>
  <cp:lastModifiedBy/>
  <cp:revision>1</cp:revision>
  <dcterms:created xsi:type="dcterms:W3CDTF">2013-12-23T23:15:00Z</dcterms:created>
  <dcterms:modified xsi:type="dcterms:W3CDTF">2013-12-23T23:15:00Z</dcterms:modified>
  <cp:category/>
</cp:coreProperties>
</file>