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DD9D" w14:textId="77777777" w:rsidR="00F45F6A" w:rsidRPr="00F45F6A" w:rsidRDefault="00F45F6A" w:rsidP="00F45F6A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KE"/>
        </w:rPr>
      </w:pPr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semiconductors </w:t>
      </w:r>
      <w:proofErr w:type="spellStart"/>
      <w:r w:rsidRPr="00F45F6A">
        <w:rPr>
          <w:rFonts w:ascii="Arial" w:eastAsia="Times New Roman" w:hAnsi="Arial" w:cs="Arial"/>
          <w:sz w:val="24"/>
          <w:szCs w:val="24"/>
          <w:lang w:eastAsia="en-KE"/>
        </w:rPr>
        <w:t>etf</w:t>
      </w:r>
      <w:proofErr w:type="spellEnd"/>
    </w:p>
    <w:p w14:paraId="73EABFAD" w14:textId="77777777" w:rsidR="00F45F6A" w:rsidRPr="00F45F6A" w:rsidRDefault="00F45F6A" w:rsidP="00F45F6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KE"/>
        </w:rPr>
      </w:pPr>
      <w:r w:rsidRPr="00F45F6A">
        <w:rPr>
          <w:rFonts w:ascii="Arial" w:eastAsia="Times New Roman" w:hAnsi="Arial" w:cs="Arial"/>
          <w:sz w:val="18"/>
          <w:szCs w:val="18"/>
          <w:lang w:eastAsia="en-KE"/>
        </w:rPr>
        <w:t>21:57</w:t>
      </w:r>
    </w:p>
    <w:p w14:paraId="0FC8426B" w14:textId="77777777" w:rsidR="00F45F6A" w:rsidRPr="00F45F6A" w:rsidRDefault="00F45F6A" w:rsidP="00F45F6A">
      <w:pPr>
        <w:spacing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The largest and most popular semiconductor ETFs are the </w:t>
      </w:r>
      <w:hyperlink r:id="rId5" w:tgtFrame="_blank" w:history="1">
        <w:proofErr w:type="spellStart"/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VanEck</w:t>
        </w:r>
        <w:proofErr w:type="spellEnd"/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 xml:space="preserve"> Semiconductor ETF (SMH)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 and the iShares Semiconductor ETF (SOXX), which offer broad exposure to major industry leaders like Nvidia, Taiwan Semiconductor, and Broadcom. [</w:t>
      </w:r>
      <w:hyperlink r:id="rId6" w:history="1"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1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>]</w:t>
      </w:r>
    </w:p>
    <w:p w14:paraId="10A8AC03" w14:textId="77777777" w:rsidR="00F45F6A" w:rsidRPr="00F45F6A" w:rsidRDefault="00F45F6A" w:rsidP="00F45F6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KE"/>
        </w:rPr>
      </w:pPr>
      <w:r w:rsidRPr="00F45F6A">
        <w:rPr>
          <w:rFonts w:ascii="Arial" w:eastAsia="Times New Roman" w:hAnsi="Arial" w:cs="Arial"/>
          <w:b/>
          <w:bCs/>
          <w:sz w:val="30"/>
          <w:szCs w:val="30"/>
          <w:lang w:eastAsia="en-KE"/>
        </w:rPr>
        <w:t>Top Semiconductor ETFs</w:t>
      </w:r>
    </w:p>
    <w:p w14:paraId="31DB97DA" w14:textId="77777777" w:rsidR="00F45F6A" w:rsidRPr="00F45F6A" w:rsidRDefault="00F45F6A" w:rsidP="00F45F6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proofErr w:type="spellStart"/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VanEck</w:t>
      </w:r>
      <w:proofErr w:type="spellEnd"/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 xml:space="preserve"> Semiconductor ETF (SMH)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>: The largest fund by assets, heavily weighted toward mega-cap stocks like Nvidia. It charges a 0.35% expense ratio. [</w:t>
      </w:r>
      <w:hyperlink r:id="rId7" w:history="1"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1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>]</w:t>
      </w:r>
    </w:p>
    <w:p w14:paraId="505D58D7" w14:textId="77777777" w:rsidR="00F45F6A" w:rsidRPr="00F45F6A" w:rsidRDefault="00F45F6A" w:rsidP="00F45F6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iShares Semiconductor ETF (SOXX)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>: Offers modified market-cap weighting with caps on single-name concentration, tracking top U.S. chip names. It features a 0.33% or 0.34% expense ratio and announced a forward stock split slated for late 2026. [</w:t>
      </w:r>
      <w:hyperlink r:id="rId8" w:history="1"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1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, </w:t>
      </w:r>
      <w:hyperlink r:id="rId9" w:history="1"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2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, </w:t>
      </w:r>
      <w:hyperlink r:id="rId10" w:history="1"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3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, </w:t>
      </w:r>
      <w:hyperlink r:id="rId11" w:history="1"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4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>]</w:t>
      </w:r>
    </w:p>
    <w:p w14:paraId="2826175C" w14:textId="77777777" w:rsidR="00F45F6A" w:rsidRPr="00F45F6A" w:rsidRDefault="00F45F6A" w:rsidP="00F45F6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Invesco PHLX Semiconductor ETF (SOXQ)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>: A lower-cost alternative tracking 30 large U.S.-listed names with a competitive 0.19% expense ratio. [</w:t>
      </w:r>
      <w:hyperlink r:id="rId12" w:history="1"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1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>]</w:t>
      </w:r>
    </w:p>
    <w:p w14:paraId="585AE36F" w14:textId="77777777" w:rsidR="00F45F6A" w:rsidRPr="00F45F6A" w:rsidRDefault="00F45F6A" w:rsidP="00F45F6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SPDR S&amp;P Semiconductor ETF (XSD)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>: Utilizes an equal-weight strategy across roughly 48 holdings, lowering concentration risk in mega-cap companies. It carries a 0.35% expense ratio. [</w:t>
      </w:r>
      <w:hyperlink r:id="rId13" w:history="1"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1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>]</w:t>
      </w:r>
    </w:p>
    <w:p w14:paraId="31D41050" w14:textId="77777777" w:rsidR="00F45F6A" w:rsidRPr="00F45F6A" w:rsidRDefault="00F45F6A" w:rsidP="00F45F6A">
      <w:pPr>
        <w:spacing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sz w:val="24"/>
          <w:szCs w:val="24"/>
          <w:lang w:eastAsia="en-KE"/>
        </w:rPr>
        <w:t>If you'd like, let me know:</w:t>
      </w:r>
    </w:p>
    <w:p w14:paraId="2F8291A0" w14:textId="77777777" w:rsidR="00F45F6A" w:rsidRPr="00F45F6A" w:rsidRDefault="00F45F6A" w:rsidP="00F45F6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Are you looking for </w:t>
      </w:r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low cost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, </w:t>
      </w:r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equal weighting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, or </w:t>
      </w:r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maximum liquidity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>?</w:t>
      </w:r>
    </w:p>
    <w:p w14:paraId="3F196252" w14:textId="77777777" w:rsidR="00F45F6A" w:rsidRPr="00F45F6A" w:rsidRDefault="00F45F6A" w:rsidP="00F45F6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Do you prefer </w:t>
      </w:r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U.S. only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 or </w:t>
      </w:r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global exposure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>?</w:t>
      </w:r>
    </w:p>
    <w:p w14:paraId="4BDDAA4C" w14:textId="77777777" w:rsidR="00F45F6A" w:rsidRPr="00F45F6A" w:rsidRDefault="00F45F6A" w:rsidP="00F45F6A">
      <w:pPr>
        <w:spacing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sz w:val="24"/>
          <w:szCs w:val="24"/>
          <w:lang w:eastAsia="en-KE"/>
        </w:rPr>
        <w:t>I can help you select the best fund for your portfolio strategy.</w:t>
      </w:r>
    </w:p>
    <w:p w14:paraId="11DAFC88" w14:textId="77777777" w:rsidR="00F45F6A" w:rsidRPr="00F45F6A" w:rsidRDefault="00F45F6A" w:rsidP="00F45F6A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KE"/>
        </w:rPr>
      </w:pPr>
      <w:r w:rsidRPr="00F45F6A">
        <w:rPr>
          <w:rFonts w:ascii="Arial" w:eastAsia="Times New Roman" w:hAnsi="Arial" w:cs="Arial"/>
          <w:sz w:val="21"/>
          <w:szCs w:val="21"/>
          <w:lang w:eastAsia="en-KE"/>
        </w:rPr>
        <w:t xml:space="preserve">AI responses may include mistakes. For financial advice, consult a professional. </w:t>
      </w:r>
      <w:hyperlink r:id="rId14" w:history="1">
        <w:r w:rsidRPr="00F45F6A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en-KE"/>
          </w:rPr>
          <w:t>Learn more</w:t>
        </w:r>
      </w:hyperlink>
    </w:p>
    <w:p w14:paraId="1916957F" w14:textId="682A43DB" w:rsidR="00F45F6A" w:rsidRPr="00F45F6A" w:rsidRDefault="00F45F6A" w:rsidP="00F45F6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noProof/>
        </w:rPr>
        <w:drawing>
          <wp:inline distT="0" distB="0" distL="0" distR="0" wp14:anchorId="26B8AB27" wp14:editId="484A5EF9">
            <wp:extent cx="152400" cy="15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1E36F" w14:textId="77777777" w:rsidR="00F45F6A" w:rsidRPr="00F45F6A" w:rsidRDefault="00F45F6A" w:rsidP="00F45F6A">
      <w:pPr>
        <w:spacing w:after="0" w:line="240" w:lineRule="auto"/>
        <w:ind w:left="795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sz w:val="18"/>
          <w:szCs w:val="18"/>
          <w:lang w:eastAsia="en-KE"/>
        </w:rPr>
        <w:t>iShares</w:t>
      </w:r>
    </w:p>
    <w:p w14:paraId="362ED8F0" w14:textId="77777777" w:rsidR="00F45F6A" w:rsidRPr="00F45F6A" w:rsidRDefault="00F45F6A" w:rsidP="00F45F6A">
      <w:pPr>
        <w:spacing w:after="0" w:line="240" w:lineRule="auto"/>
        <w:ind w:left="720"/>
        <w:rPr>
          <w:rFonts w:ascii="Arial" w:eastAsia="Times New Roman" w:hAnsi="Arial" w:cs="Arial"/>
          <w:sz w:val="21"/>
          <w:szCs w:val="21"/>
          <w:lang w:eastAsia="en-KE"/>
        </w:rPr>
      </w:pPr>
      <w:r w:rsidRPr="00F45F6A">
        <w:rPr>
          <w:rFonts w:ascii="Arial" w:eastAsia="Times New Roman" w:hAnsi="Arial" w:cs="Arial"/>
          <w:sz w:val="21"/>
          <w:szCs w:val="21"/>
          <w:lang w:eastAsia="en-KE"/>
        </w:rPr>
        <w:t>iShares Semiconductor ETF | SOXX</w:t>
      </w:r>
    </w:p>
    <w:p w14:paraId="3E455132" w14:textId="77777777" w:rsidR="00F45F6A" w:rsidRPr="00F45F6A" w:rsidRDefault="00F45F6A" w:rsidP="00F45F6A">
      <w:pPr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KE"/>
        </w:rPr>
      </w:pPr>
      <w:r w:rsidRPr="00F45F6A">
        <w:rPr>
          <w:rFonts w:ascii="Arial" w:eastAsia="Times New Roman" w:hAnsi="Arial" w:cs="Arial"/>
          <w:sz w:val="18"/>
          <w:szCs w:val="18"/>
          <w:lang w:eastAsia="en-KE"/>
        </w:rPr>
        <w:t>Important Notice Regarding a Corporate Action – On August 21, 2026, iShares filed to issue a forward stock split for the iShares S...</w:t>
      </w:r>
    </w:p>
    <w:p w14:paraId="0448B51F" w14:textId="75F07051" w:rsidR="00F45F6A" w:rsidRPr="00F45F6A" w:rsidRDefault="00F45F6A" w:rsidP="00F45F6A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noProof/>
        </w:rPr>
        <w:drawing>
          <wp:inline distT="0" distB="0" distL="0" distR="0" wp14:anchorId="158AC865" wp14:editId="7631F77D">
            <wp:extent cx="647700" cy="64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92473" w14:textId="25E9B15F" w:rsidR="00F45F6A" w:rsidRPr="00F45F6A" w:rsidRDefault="00F45F6A" w:rsidP="00F45F6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noProof/>
        </w:rPr>
        <w:drawing>
          <wp:inline distT="0" distB="0" distL="0" distR="0" wp14:anchorId="08367A46" wp14:editId="788BCAA2">
            <wp:extent cx="152400" cy="15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846D7" w14:textId="77777777" w:rsidR="00F45F6A" w:rsidRPr="00F45F6A" w:rsidRDefault="00F45F6A" w:rsidP="00F45F6A">
      <w:pPr>
        <w:spacing w:after="0" w:line="240" w:lineRule="auto"/>
        <w:ind w:left="795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sz w:val="18"/>
          <w:szCs w:val="18"/>
          <w:lang w:eastAsia="en-KE"/>
        </w:rPr>
        <w:t>ETF Database</w:t>
      </w:r>
    </w:p>
    <w:p w14:paraId="762271B5" w14:textId="77777777" w:rsidR="00F45F6A" w:rsidRPr="00F45F6A" w:rsidRDefault="00F45F6A" w:rsidP="00F45F6A">
      <w:pPr>
        <w:spacing w:after="0" w:line="240" w:lineRule="auto"/>
        <w:ind w:left="720"/>
        <w:rPr>
          <w:rFonts w:ascii="Arial" w:eastAsia="Times New Roman" w:hAnsi="Arial" w:cs="Arial"/>
          <w:sz w:val="21"/>
          <w:szCs w:val="21"/>
          <w:lang w:eastAsia="en-KE"/>
        </w:rPr>
      </w:pPr>
      <w:r w:rsidRPr="00F45F6A">
        <w:rPr>
          <w:rFonts w:ascii="Arial" w:eastAsia="Times New Roman" w:hAnsi="Arial" w:cs="Arial"/>
          <w:sz w:val="21"/>
          <w:szCs w:val="21"/>
          <w:lang w:eastAsia="en-KE"/>
        </w:rPr>
        <w:t>Semiconductors ETF List - ETF Database</w:t>
      </w:r>
    </w:p>
    <w:p w14:paraId="22711129" w14:textId="77777777" w:rsidR="00F45F6A" w:rsidRPr="00F45F6A" w:rsidRDefault="00F45F6A" w:rsidP="00F45F6A">
      <w:pPr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KE"/>
        </w:rPr>
      </w:pPr>
      <w:proofErr w:type="spellStart"/>
      <w:r w:rsidRPr="00F45F6A">
        <w:rPr>
          <w:rFonts w:ascii="Arial" w:eastAsia="Times New Roman" w:hAnsi="Arial" w:cs="Arial"/>
          <w:sz w:val="18"/>
          <w:szCs w:val="18"/>
          <w:lang w:eastAsia="en-KE"/>
        </w:rPr>
        <w:t>Table_title</w:t>
      </w:r>
      <w:proofErr w:type="spellEnd"/>
      <w:r w:rsidRPr="00F45F6A">
        <w:rPr>
          <w:rFonts w:ascii="Arial" w:eastAsia="Times New Roman" w:hAnsi="Arial" w:cs="Arial"/>
          <w:sz w:val="18"/>
          <w:szCs w:val="18"/>
          <w:lang w:eastAsia="en-KE"/>
        </w:rPr>
        <w:t xml:space="preserve">: Semiconductors ETF List </w:t>
      </w:r>
      <w:proofErr w:type="spellStart"/>
      <w:r w:rsidRPr="00F45F6A">
        <w:rPr>
          <w:rFonts w:ascii="Arial" w:eastAsia="Times New Roman" w:hAnsi="Arial" w:cs="Arial"/>
          <w:sz w:val="18"/>
          <w:szCs w:val="18"/>
          <w:lang w:eastAsia="en-KE"/>
        </w:rPr>
        <w:t>Table_content</w:t>
      </w:r>
      <w:proofErr w:type="spellEnd"/>
      <w:r w:rsidRPr="00F45F6A">
        <w:rPr>
          <w:rFonts w:ascii="Arial" w:eastAsia="Times New Roman" w:hAnsi="Arial" w:cs="Arial"/>
          <w:sz w:val="18"/>
          <w:szCs w:val="18"/>
          <w:lang w:eastAsia="en-KE"/>
        </w:rPr>
        <w:t xml:space="preserve">: | Symbol </w:t>
      </w:r>
      <w:proofErr w:type="spellStart"/>
      <w:r w:rsidRPr="00F45F6A">
        <w:rPr>
          <w:rFonts w:ascii="Arial" w:eastAsia="Times New Roman" w:hAnsi="Arial" w:cs="Arial"/>
          <w:sz w:val="18"/>
          <w:szCs w:val="18"/>
          <w:lang w:eastAsia="en-KE"/>
        </w:rPr>
        <w:t>Symbol</w:t>
      </w:r>
      <w:proofErr w:type="spellEnd"/>
      <w:r w:rsidRPr="00F45F6A">
        <w:rPr>
          <w:rFonts w:ascii="Arial" w:eastAsia="Times New Roman" w:hAnsi="Arial" w:cs="Arial"/>
          <w:sz w:val="18"/>
          <w:szCs w:val="18"/>
          <w:lang w:eastAsia="en-KE"/>
        </w:rPr>
        <w:t xml:space="preserve"> | ETF Name ETF Name | Asset Class Asset Class | Sector </w:t>
      </w:r>
      <w:proofErr w:type="spellStart"/>
      <w:r w:rsidRPr="00F45F6A">
        <w:rPr>
          <w:rFonts w:ascii="Arial" w:eastAsia="Times New Roman" w:hAnsi="Arial" w:cs="Arial"/>
          <w:sz w:val="18"/>
          <w:szCs w:val="18"/>
          <w:lang w:eastAsia="en-KE"/>
        </w:rPr>
        <w:t>Sector</w:t>
      </w:r>
      <w:proofErr w:type="spellEnd"/>
      <w:r w:rsidRPr="00F45F6A">
        <w:rPr>
          <w:rFonts w:ascii="Arial" w:eastAsia="Times New Roman" w:hAnsi="Arial" w:cs="Arial"/>
          <w:sz w:val="18"/>
          <w:szCs w:val="18"/>
          <w:lang w:eastAsia="en-KE"/>
        </w:rPr>
        <w:t xml:space="preserve"> ...</w:t>
      </w:r>
    </w:p>
    <w:p w14:paraId="66AC14A7" w14:textId="493B93E0" w:rsidR="00F45F6A" w:rsidRPr="00F45F6A" w:rsidRDefault="00F45F6A" w:rsidP="00F45F6A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noProof/>
        </w:rPr>
        <w:drawing>
          <wp:inline distT="0" distB="0" distL="0" distR="0" wp14:anchorId="2CFD9005" wp14:editId="09C0EC72">
            <wp:extent cx="647700" cy="64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44CC" w14:textId="65C1AB60" w:rsidR="00F45F6A" w:rsidRPr="00F45F6A" w:rsidRDefault="00F45F6A" w:rsidP="00F45F6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noProof/>
        </w:rPr>
        <w:drawing>
          <wp:inline distT="0" distB="0" distL="0" distR="0" wp14:anchorId="168AD953" wp14:editId="42AC4436">
            <wp:extent cx="152400" cy="15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4929" w14:textId="77777777" w:rsidR="00F45F6A" w:rsidRPr="00F45F6A" w:rsidRDefault="00F45F6A" w:rsidP="00F45F6A">
      <w:pPr>
        <w:spacing w:after="0" w:line="240" w:lineRule="auto"/>
        <w:ind w:left="795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sz w:val="18"/>
          <w:szCs w:val="18"/>
          <w:lang w:eastAsia="en-KE"/>
        </w:rPr>
        <w:t>U.S. News - Money</w:t>
      </w:r>
    </w:p>
    <w:p w14:paraId="3DD877E5" w14:textId="77777777" w:rsidR="00F45F6A" w:rsidRPr="00F45F6A" w:rsidRDefault="00F45F6A" w:rsidP="00F45F6A">
      <w:pPr>
        <w:spacing w:after="0" w:line="240" w:lineRule="auto"/>
        <w:ind w:left="720"/>
        <w:rPr>
          <w:rFonts w:ascii="Arial" w:eastAsia="Times New Roman" w:hAnsi="Arial" w:cs="Arial"/>
          <w:sz w:val="21"/>
          <w:szCs w:val="21"/>
          <w:lang w:eastAsia="en-KE"/>
        </w:rPr>
      </w:pPr>
      <w:r w:rsidRPr="00F45F6A">
        <w:rPr>
          <w:rFonts w:ascii="Arial" w:eastAsia="Times New Roman" w:hAnsi="Arial" w:cs="Arial"/>
          <w:sz w:val="21"/>
          <w:szCs w:val="21"/>
          <w:lang w:eastAsia="en-KE"/>
        </w:rPr>
        <w:t>7 Best Semiconductor ETFs to Buy for 2026 | Investing - U.S. News - Money</w:t>
      </w:r>
    </w:p>
    <w:p w14:paraId="347C6967" w14:textId="77777777" w:rsidR="00F45F6A" w:rsidRPr="00F45F6A" w:rsidRDefault="00F45F6A" w:rsidP="00F45F6A">
      <w:pPr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KE"/>
        </w:rPr>
      </w:pPr>
      <w:proofErr w:type="spellStart"/>
      <w:r w:rsidRPr="00F45F6A">
        <w:rPr>
          <w:rFonts w:ascii="Arial" w:eastAsia="Times New Roman" w:hAnsi="Arial" w:cs="Arial"/>
          <w:sz w:val="18"/>
          <w:szCs w:val="18"/>
          <w:lang w:eastAsia="en-KE"/>
        </w:rPr>
        <w:t>Table_title</w:t>
      </w:r>
      <w:proofErr w:type="spellEnd"/>
      <w:r w:rsidRPr="00F45F6A">
        <w:rPr>
          <w:rFonts w:ascii="Arial" w:eastAsia="Times New Roman" w:hAnsi="Arial" w:cs="Arial"/>
          <w:sz w:val="18"/>
          <w:szCs w:val="18"/>
          <w:lang w:eastAsia="en-KE"/>
        </w:rPr>
        <w:t xml:space="preserve">: 7 Best Semiconductor ETFs to Buy for 2026 </w:t>
      </w:r>
      <w:proofErr w:type="spellStart"/>
      <w:r w:rsidRPr="00F45F6A">
        <w:rPr>
          <w:rFonts w:ascii="Arial" w:eastAsia="Times New Roman" w:hAnsi="Arial" w:cs="Arial"/>
          <w:sz w:val="18"/>
          <w:szCs w:val="18"/>
          <w:lang w:eastAsia="en-KE"/>
        </w:rPr>
        <w:t>Table_content</w:t>
      </w:r>
      <w:proofErr w:type="spellEnd"/>
      <w:r w:rsidRPr="00F45F6A">
        <w:rPr>
          <w:rFonts w:ascii="Arial" w:eastAsia="Times New Roman" w:hAnsi="Arial" w:cs="Arial"/>
          <w:sz w:val="18"/>
          <w:szCs w:val="18"/>
          <w:lang w:eastAsia="en-KE"/>
        </w:rPr>
        <w:t xml:space="preserve">: | ETF | Expense Ratio | | --- | --- | | </w:t>
      </w:r>
      <w:proofErr w:type="spellStart"/>
      <w:r w:rsidRPr="00F45F6A">
        <w:rPr>
          <w:rFonts w:ascii="Arial" w:eastAsia="Times New Roman" w:hAnsi="Arial" w:cs="Arial"/>
          <w:sz w:val="18"/>
          <w:szCs w:val="18"/>
          <w:lang w:eastAsia="en-KE"/>
        </w:rPr>
        <w:t>Roundhill</w:t>
      </w:r>
      <w:proofErr w:type="spellEnd"/>
      <w:r w:rsidRPr="00F45F6A">
        <w:rPr>
          <w:rFonts w:ascii="Arial" w:eastAsia="Times New Roman" w:hAnsi="Arial" w:cs="Arial"/>
          <w:sz w:val="18"/>
          <w:szCs w:val="18"/>
          <w:lang w:eastAsia="en-KE"/>
        </w:rPr>
        <w:t xml:space="preserve"> Memory ETF...</w:t>
      </w:r>
    </w:p>
    <w:p w14:paraId="23E46CC3" w14:textId="19417898" w:rsidR="00F45F6A" w:rsidRPr="00F45F6A" w:rsidRDefault="00F45F6A" w:rsidP="00F45F6A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noProof/>
        </w:rPr>
        <w:drawing>
          <wp:inline distT="0" distB="0" distL="0" distR="0" wp14:anchorId="67BFFFE5" wp14:editId="36E8BA57">
            <wp:extent cx="647700" cy="64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D2E3D" w14:textId="77777777" w:rsidR="00F45F6A" w:rsidRPr="00F45F6A" w:rsidRDefault="00F45F6A" w:rsidP="00F45F6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sz w:val="21"/>
          <w:szCs w:val="21"/>
          <w:lang w:eastAsia="en-KE"/>
        </w:rPr>
        <w:lastRenderedPageBreak/>
        <w:t>Show all</w:t>
      </w:r>
    </w:p>
    <w:p w14:paraId="195392E2" w14:textId="77777777" w:rsidR="00F45F6A" w:rsidRPr="00F45F6A" w:rsidRDefault="00F45F6A" w:rsidP="00F45F6A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eastAsia="en-KE"/>
        </w:rPr>
      </w:pPr>
      <w:r w:rsidRPr="00F45F6A">
        <w:rPr>
          <w:rFonts w:ascii="Arial" w:eastAsia="Times New Roman" w:hAnsi="Arial" w:cs="Arial"/>
          <w:b/>
          <w:bCs/>
          <w:sz w:val="32"/>
          <w:szCs w:val="32"/>
          <w:lang w:eastAsia="en-KE"/>
        </w:rPr>
        <w:t>You said: which one is has similarities to cost, efficiency like QQQM and SPYM?</w:t>
      </w:r>
    </w:p>
    <w:p w14:paraId="3636AED6" w14:textId="77777777" w:rsidR="00F45F6A" w:rsidRPr="00F45F6A" w:rsidRDefault="00F45F6A" w:rsidP="00F45F6A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KE"/>
        </w:rPr>
      </w:pPr>
      <w:r w:rsidRPr="00F45F6A">
        <w:rPr>
          <w:rFonts w:ascii="Arial" w:eastAsia="Times New Roman" w:hAnsi="Arial" w:cs="Arial"/>
          <w:sz w:val="24"/>
          <w:szCs w:val="24"/>
          <w:lang w:eastAsia="en-KE"/>
        </w:rPr>
        <w:t>which one is has similarities to cost, efficiency like QQQM and SPYM?</w:t>
      </w:r>
    </w:p>
    <w:p w14:paraId="6ADE0D33" w14:textId="77777777" w:rsidR="00F45F6A" w:rsidRPr="00F45F6A" w:rsidRDefault="00F45F6A" w:rsidP="00F45F6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KE"/>
        </w:rPr>
      </w:pPr>
      <w:r w:rsidRPr="00F45F6A">
        <w:rPr>
          <w:rFonts w:ascii="Arial" w:eastAsia="Times New Roman" w:hAnsi="Arial" w:cs="Arial"/>
          <w:sz w:val="18"/>
          <w:szCs w:val="18"/>
          <w:lang w:eastAsia="en-KE"/>
        </w:rPr>
        <w:t>21:58</w:t>
      </w:r>
    </w:p>
    <w:p w14:paraId="63AD45FA" w14:textId="77777777" w:rsidR="00F45F6A" w:rsidRPr="00F45F6A" w:rsidRDefault="00F45F6A" w:rsidP="00F45F6A">
      <w:pPr>
        <w:spacing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The semiconductor ETF that matches the cost-efficiency, retail-investor structure, and institutional tracking strategy of funds like QQQM and SPYM is the </w:t>
      </w:r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Invesco PHLX Semiconductor ETF (SOXQ)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>. [</w:t>
      </w:r>
      <w:hyperlink r:id="rId21" w:history="1"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1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>]</w:t>
      </w:r>
    </w:p>
    <w:p w14:paraId="096269C1" w14:textId="77777777" w:rsidR="00F45F6A" w:rsidRPr="00F45F6A" w:rsidRDefault="00F45F6A" w:rsidP="00F45F6A">
      <w:pPr>
        <w:spacing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sz w:val="24"/>
          <w:szCs w:val="24"/>
          <w:lang w:eastAsia="en-KE"/>
        </w:rPr>
        <w:t>Here is how it shares those specific "low-cost alternative" DNA markers:</w:t>
      </w:r>
    </w:p>
    <w:p w14:paraId="1F7FD41A" w14:textId="77777777" w:rsidR="00F45F6A" w:rsidRPr="00F45F6A" w:rsidRDefault="00F45F6A" w:rsidP="00F45F6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KE"/>
        </w:rPr>
      </w:pPr>
      <w:r w:rsidRPr="00F45F6A">
        <w:rPr>
          <w:rFonts w:ascii="Segoe UI Emoji" w:eastAsia="Times New Roman" w:hAnsi="Segoe UI Emoji" w:cs="Segoe UI Emoji"/>
          <w:b/>
          <w:bCs/>
          <w:sz w:val="30"/>
          <w:szCs w:val="30"/>
          <w:lang w:eastAsia="en-KE"/>
        </w:rPr>
        <w:t>📊</w:t>
      </w:r>
      <w:r w:rsidRPr="00F45F6A">
        <w:rPr>
          <w:rFonts w:ascii="Arial" w:eastAsia="Times New Roman" w:hAnsi="Arial" w:cs="Arial"/>
          <w:b/>
          <w:bCs/>
          <w:sz w:val="30"/>
          <w:szCs w:val="30"/>
          <w:lang w:eastAsia="en-KE"/>
        </w:rPr>
        <w:t xml:space="preserve"> Comparing the "Slicker, Cheaper" ETF Equivalents</w:t>
      </w:r>
    </w:p>
    <w:p w14:paraId="05F8ABC3" w14:textId="77777777" w:rsidR="00F45F6A" w:rsidRPr="00F45F6A" w:rsidRDefault="00F45F6A" w:rsidP="00F45F6A">
      <w:pPr>
        <w:spacing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sz w:val="24"/>
          <w:szCs w:val="24"/>
          <w:lang w:eastAsia="en-KE"/>
        </w:rPr>
        <w:t>When financial institutions want to cater to long-term buy-and-hold retail investors, they build a lower-cost companion to an existing massive, highly liquid index fund. [</w:t>
      </w:r>
      <w:hyperlink r:id="rId22" w:history="1"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1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3544"/>
        <w:gridCol w:w="2870"/>
      </w:tblGrid>
      <w:tr w:rsidR="00F45F6A" w:rsidRPr="00F45F6A" w14:paraId="5B55F26E" w14:textId="77777777" w:rsidTr="00F45F6A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FE201CD" w14:textId="77777777" w:rsidR="00F45F6A" w:rsidRPr="00F45F6A" w:rsidRDefault="00F45F6A" w:rsidP="00F45F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KE"/>
              </w:rPr>
            </w:pPr>
            <w:r w:rsidRPr="00F45F6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KE"/>
              </w:rPr>
              <w:t>Major Benchmark Index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C6BE487" w14:textId="77777777" w:rsidR="00F45F6A" w:rsidRPr="00F45F6A" w:rsidRDefault="00F45F6A" w:rsidP="00F45F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KE"/>
              </w:rPr>
            </w:pPr>
            <w:r w:rsidRPr="00F45F6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KE"/>
              </w:rPr>
              <w:t>The Expensive Liquid Institutional Fund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22AB45C" w14:textId="77777777" w:rsidR="00F45F6A" w:rsidRPr="00F45F6A" w:rsidRDefault="00F45F6A" w:rsidP="00F45F6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KE"/>
              </w:rPr>
            </w:pPr>
            <w:r w:rsidRPr="00F45F6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KE"/>
              </w:rPr>
              <w:t>The Low-Cost Retail Alternative</w:t>
            </w:r>
          </w:p>
        </w:tc>
      </w:tr>
      <w:tr w:rsidR="00F45F6A" w:rsidRPr="00F45F6A" w14:paraId="6DB250D0" w14:textId="77777777" w:rsidTr="00F45F6A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B424AF8" w14:textId="77777777" w:rsidR="00F45F6A" w:rsidRPr="00F45F6A" w:rsidRDefault="00F45F6A" w:rsidP="00F45F6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KE"/>
              </w:rPr>
            </w:pPr>
            <w:r w:rsidRPr="00F45F6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KE"/>
              </w:rPr>
              <w:t>S&amp;P 500 Index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942B9E1" w14:textId="77777777" w:rsidR="00F45F6A" w:rsidRPr="00F45F6A" w:rsidRDefault="00F45F6A" w:rsidP="00F45F6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KE"/>
              </w:rPr>
            </w:pPr>
            <w:r w:rsidRPr="00F45F6A">
              <w:rPr>
                <w:rFonts w:ascii="Arial" w:eastAsia="Times New Roman" w:hAnsi="Arial" w:cs="Arial"/>
                <w:sz w:val="21"/>
                <w:szCs w:val="21"/>
                <w:lang w:eastAsia="en-KE"/>
              </w:rPr>
              <w:t>SPY (0.09% fee)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FE19F8A" w14:textId="77777777" w:rsidR="00F45F6A" w:rsidRPr="00F45F6A" w:rsidRDefault="00F45F6A" w:rsidP="00F45F6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KE"/>
              </w:rPr>
            </w:pPr>
            <w:r w:rsidRPr="00F45F6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KE"/>
              </w:rPr>
              <w:t>SPYM</w:t>
            </w:r>
            <w:r w:rsidRPr="00F45F6A">
              <w:rPr>
                <w:rFonts w:ascii="Arial" w:eastAsia="Times New Roman" w:hAnsi="Arial" w:cs="Arial"/>
                <w:sz w:val="21"/>
                <w:szCs w:val="21"/>
                <w:lang w:eastAsia="en-KE"/>
              </w:rPr>
              <w:t xml:space="preserve"> (0.02% fee)</w:t>
            </w:r>
          </w:p>
        </w:tc>
      </w:tr>
      <w:tr w:rsidR="00F45F6A" w:rsidRPr="00F45F6A" w14:paraId="23B231B6" w14:textId="77777777" w:rsidTr="00F45F6A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CD33A0A" w14:textId="77777777" w:rsidR="00F45F6A" w:rsidRPr="00F45F6A" w:rsidRDefault="00F45F6A" w:rsidP="00F45F6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KE"/>
              </w:rPr>
            </w:pPr>
            <w:r w:rsidRPr="00F45F6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KE"/>
              </w:rPr>
              <w:t>NASDAQ-100 Index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E6682D9" w14:textId="77777777" w:rsidR="00F45F6A" w:rsidRPr="00F45F6A" w:rsidRDefault="00F45F6A" w:rsidP="00F45F6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KE"/>
              </w:rPr>
            </w:pPr>
            <w:r w:rsidRPr="00F45F6A">
              <w:rPr>
                <w:rFonts w:ascii="Arial" w:eastAsia="Times New Roman" w:hAnsi="Arial" w:cs="Arial"/>
                <w:sz w:val="21"/>
                <w:szCs w:val="21"/>
                <w:lang w:eastAsia="en-KE"/>
              </w:rPr>
              <w:t>QQQ (0.20% fee)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DB6AA5B" w14:textId="77777777" w:rsidR="00F45F6A" w:rsidRPr="00F45F6A" w:rsidRDefault="00F45F6A" w:rsidP="00F45F6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KE"/>
              </w:rPr>
            </w:pPr>
            <w:r w:rsidRPr="00F45F6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KE"/>
              </w:rPr>
              <w:t>QQQM</w:t>
            </w:r>
            <w:r w:rsidRPr="00F45F6A">
              <w:rPr>
                <w:rFonts w:ascii="Arial" w:eastAsia="Times New Roman" w:hAnsi="Arial" w:cs="Arial"/>
                <w:sz w:val="21"/>
                <w:szCs w:val="21"/>
                <w:lang w:eastAsia="en-KE"/>
              </w:rPr>
              <w:t xml:space="preserve"> (0.15% fee)</w:t>
            </w:r>
          </w:p>
        </w:tc>
      </w:tr>
      <w:tr w:rsidR="00F45F6A" w:rsidRPr="00F45F6A" w14:paraId="4D542187" w14:textId="77777777" w:rsidTr="00F45F6A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629E5FE" w14:textId="77777777" w:rsidR="00F45F6A" w:rsidRPr="00F45F6A" w:rsidRDefault="00F45F6A" w:rsidP="00F45F6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KE"/>
              </w:rPr>
            </w:pPr>
            <w:r w:rsidRPr="00F45F6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KE"/>
              </w:rPr>
              <w:t>PHLX Semiconductor Index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068F0B5" w14:textId="77777777" w:rsidR="00F45F6A" w:rsidRPr="00F45F6A" w:rsidRDefault="00F45F6A" w:rsidP="00F45F6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KE"/>
              </w:rPr>
            </w:pPr>
            <w:r w:rsidRPr="00F45F6A">
              <w:rPr>
                <w:rFonts w:ascii="Arial" w:eastAsia="Times New Roman" w:hAnsi="Arial" w:cs="Arial"/>
                <w:sz w:val="21"/>
                <w:szCs w:val="21"/>
                <w:lang w:eastAsia="en-KE"/>
              </w:rPr>
              <w:t>SOXX (0.35% fee)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4E70268" w14:textId="77777777" w:rsidR="00F45F6A" w:rsidRPr="00F45F6A" w:rsidRDefault="00F45F6A" w:rsidP="00F45F6A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KE"/>
              </w:rPr>
            </w:pPr>
            <w:r w:rsidRPr="00F45F6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KE"/>
              </w:rPr>
              <w:t>SOXQ</w:t>
            </w:r>
            <w:r w:rsidRPr="00F45F6A">
              <w:rPr>
                <w:rFonts w:ascii="Arial" w:eastAsia="Times New Roman" w:hAnsi="Arial" w:cs="Arial"/>
                <w:sz w:val="21"/>
                <w:szCs w:val="21"/>
                <w:lang w:eastAsia="en-KE"/>
              </w:rPr>
              <w:t xml:space="preserve"> (0.19% fee)</w:t>
            </w:r>
          </w:p>
        </w:tc>
      </w:tr>
    </w:tbl>
    <w:p w14:paraId="2F971867" w14:textId="77777777" w:rsidR="00F45F6A" w:rsidRPr="00F45F6A" w:rsidRDefault="00F45F6A" w:rsidP="00F45F6A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KE"/>
        </w:rPr>
      </w:pPr>
      <w:r w:rsidRPr="00F45F6A">
        <w:rPr>
          <w:rFonts w:ascii="Segoe UI Emoji" w:eastAsia="Times New Roman" w:hAnsi="Segoe UI Emoji" w:cs="Segoe UI Emoji"/>
          <w:b/>
          <w:bCs/>
          <w:sz w:val="30"/>
          <w:szCs w:val="30"/>
          <w:lang w:eastAsia="en-KE"/>
        </w:rPr>
        <w:t>🔍</w:t>
      </w:r>
      <w:r w:rsidRPr="00F45F6A">
        <w:rPr>
          <w:rFonts w:ascii="Arial" w:eastAsia="Times New Roman" w:hAnsi="Arial" w:cs="Arial"/>
          <w:b/>
          <w:bCs/>
          <w:sz w:val="30"/>
          <w:szCs w:val="30"/>
          <w:lang w:eastAsia="en-KE"/>
        </w:rPr>
        <w:t xml:space="preserve"> Why SOXQ Fits the Script</w:t>
      </w:r>
    </w:p>
    <w:p w14:paraId="528FF185" w14:textId="77777777" w:rsidR="00F45F6A" w:rsidRPr="00F45F6A" w:rsidRDefault="00F45F6A" w:rsidP="00F45F6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The Fee Discount: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 Just as QQQM was launched to undercut QQQ, and SPYM (formerly SPLG) undercuts SPY, </w:t>
      </w:r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SOXQ was built to undercut the massive chip funds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. It cuts your annual expense ratio to just </w:t>
      </w:r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0.19%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>, while industry giants like SMH and SOXX cost roughly 0.35% and 0.33% respectively. [</w:t>
      </w:r>
      <w:hyperlink r:id="rId23" w:history="1"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1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, </w:t>
      </w:r>
      <w:hyperlink r:id="rId24" w:history="1"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2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, </w:t>
      </w:r>
      <w:hyperlink r:id="rId25" w:history="1"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3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>]</w:t>
      </w:r>
    </w:p>
    <w:p w14:paraId="77316DCE" w14:textId="77777777" w:rsidR="00F45F6A" w:rsidRPr="00F45F6A" w:rsidRDefault="00F45F6A" w:rsidP="00F45F6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Index Mechanics: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 SOXQ tracks 30 of the largest U.S.-listed semiconductor design and manufacturing companies. It gives you identical tier-one exposure to giants like Nvidia, Broadcom, and AMD, meaning you get the exact same underlying performance factor as the more expensive industry standard. [</w:t>
      </w:r>
      <w:hyperlink r:id="rId26" w:history="1"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1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, </w:t>
      </w:r>
      <w:hyperlink r:id="rId27" w:history="1">
        <w:r w:rsidRPr="00F45F6A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2</w:t>
        </w:r>
      </w:hyperlink>
      <w:r w:rsidRPr="00F45F6A">
        <w:rPr>
          <w:rFonts w:ascii="Arial" w:eastAsia="Times New Roman" w:hAnsi="Arial" w:cs="Arial"/>
          <w:sz w:val="24"/>
          <w:szCs w:val="24"/>
          <w:lang w:eastAsia="en-KE"/>
        </w:rPr>
        <w:t>]</w:t>
      </w:r>
    </w:p>
    <w:p w14:paraId="3E4E66A8" w14:textId="77777777" w:rsidR="00F45F6A" w:rsidRPr="00F45F6A" w:rsidRDefault="00F45F6A" w:rsidP="00F45F6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Perfect for Accumulation: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 Because it </w:t>
      </w:r>
      <w:proofErr w:type="gramStart"/>
      <w:r w:rsidRPr="00F45F6A">
        <w:rPr>
          <w:rFonts w:ascii="Arial" w:eastAsia="Times New Roman" w:hAnsi="Arial" w:cs="Arial"/>
          <w:sz w:val="24"/>
          <w:szCs w:val="24"/>
          <w:lang w:eastAsia="en-KE"/>
        </w:rPr>
        <w:t>trade</w:t>
      </w:r>
      <w:proofErr w:type="gramEnd"/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 at a lower price-per-share than older legacy funds, it is highly efficient for automated recurring investments and fractional share buying.</w:t>
      </w:r>
    </w:p>
    <w:p w14:paraId="60C50762" w14:textId="77777777" w:rsidR="00F45F6A" w:rsidRPr="00F45F6A" w:rsidRDefault="00F45F6A" w:rsidP="00F45F6A">
      <w:pPr>
        <w:spacing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Would you like a side-by-side look at the </w:t>
      </w:r>
      <w:r w:rsidRPr="00F45F6A">
        <w:rPr>
          <w:rFonts w:ascii="Arial" w:eastAsia="Times New Roman" w:hAnsi="Arial" w:cs="Arial"/>
          <w:b/>
          <w:bCs/>
          <w:sz w:val="24"/>
          <w:szCs w:val="24"/>
          <w:lang w:eastAsia="en-KE"/>
        </w:rPr>
        <w:t>exact company holdings</w:t>
      </w:r>
      <w:r w:rsidRPr="00F45F6A">
        <w:rPr>
          <w:rFonts w:ascii="Arial" w:eastAsia="Times New Roman" w:hAnsi="Arial" w:cs="Arial"/>
          <w:sz w:val="24"/>
          <w:szCs w:val="24"/>
          <w:lang w:eastAsia="en-KE"/>
        </w:rPr>
        <w:t xml:space="preserve"> (like Nvidia or AMD weights) between SOXQ and SMH to see how the performance might differ?</w:t>
      </w:r>
    </w:p>
    <w:p w14:paraId="0617FF30" w14:textId="77777777" w:rsidR="00F45F6A" w:rsidRDefault="00F45F6A"/>
    <w:sectPr w:rsidR="00F45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91D35"/>
    <w:multiLevelType w:val="multilevel"/>
    <w:tmpl w:val="5384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42F9F"/>
    <w:multiLevelType w:val="multilevel"/>
    <w:tmpl w:val="2E1A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000AD"/>
    <w:multiLevelType w:val="multilevel"/>
    <w:tmpl w:val="2F1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C7B9F"/>
    <w:multiLevelType w:val="multilevel"/>
    <w:tmpl w:val="B492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6A"/>
    <w:rsid w:val="00F4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F1E0"/>
  <w15:chartTrackingRefBased/>
  <w15:docId w15:val="{ACB6B25B-CE4A-4798-9595-C4A815FE7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5F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5F6A"/>
    <w:rPr>
      <w:rFonts w:ascii="Times New Roman" w:eastAsia="Times New Roman" w:hAnsi="Times New Roman" w:cs="Times New Roman"/>
      <w:b/>
      <w:bCs/>
      <w:sz w:val="36"/>
      <w:szCs w:val="36"/>
      <w:lang w:eastAsia="en-KE"/>
    </w:rPr>
  </w:style>
  <w:style w:type="character" w:customStyle="1" w:styleId="vndci">
    <w:name w:val="vndci"/>
    <w:basedOn w:val="DefaultParagraphFont"/>
    <w:rsid w:val="00F45F6A"/>
  </w:style>
  <w:style w:type="character" w:styleId="Hyperlink">
    <w:name w:val="Hyperlink"/>
    <w:basedOn w:val="DefaultParagraphFont"/>
    <w:uiPriority w:val="99"/>
    <w:semiHidden/>
    <w:unhideWhenUsed/>
    <w:rsid w:val="00F45F6A"/>
    <w:rPr>
      <w:color w:val="0000FF"/>
      <w:u w:val="single"/>
    </w:rPr>
  </w:style>
  <w:style w:type="character" w:customStyle="1" w:styleId="inqyif">
    <w:name w:val="inqyif"/>
    <w:basedOn w:val="DefaultParagraphFont"/>
    <w:rsid w:val="00F45F6A"/>
  </w:style>
  <w:style w:type="paragraph" w:customStyle="1" w:styleId="z1qcye">
    <w:name w:val="z1qcye"/>
    <w:basedOn w:val="Normal"/>
    <w:rsid w:val="00F45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Strong">
    <w:name w:val="Strong"/>
    <w:basedOn w:val="DefaultParagraphFont"/>
    <w:uiPriority w:val="22"/>
    <w:qFormat/>
    <w:rsid w:val="00F45F6A"/>
    <w:rPr>
      <w:b/>
      <w:bCs/>
    </w:rPr>
  </w:style>
  <w:style w:type="paragraph" w:customStyle="1" w:styleId="ndm2cf">
    <w:name w:val="ndm2cf"/>
    <w:basedOn w:val="Normal"/>
    <w:rsid w:val="00F45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customStyle="1" w:styleId="esfokc">
    <w:name w:val="esfokc"/>
    <w:basedOn w:val="DefaultParagraphFont"/>
    <w:rsid w:val="00F45F6A"/>
  </w:style>
  <w:style w:type="character" w:customStyle="1" w:styleId="hxiqcc">
    <w:name w:val="hxiqcc"/>
    <w:basedOn w:val="DefaultParagraphFont"/>
    <w:rsid w:val="00F45F6A"/>
  </w:style>
  <w:style w:type="character" w:customStyle="1" w:styleId="i6hkm">
    <w:name w:val="i6hkm"/>
    <w:basedOn w:val="DefaultParagraphFont"/>
    <w:rsid w:val="00F45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4680">
                      <w:marLeft w:val="574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0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0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8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972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23519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36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7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1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6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2333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4489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84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5272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543207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947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009899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9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85651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21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8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1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4E5059"/>
                                    <w:right w:val="none" w:sz="0" w:space="0" w:color="auto"/>
                                  </w:divBdr>
                                  <w:divsChild>
                                    <w:div w:id="113849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7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16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1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4E5059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8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0924248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349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1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9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47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656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430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534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49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26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4E5059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79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1023448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37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75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81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89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16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70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55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08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4E5059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3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7751347">
                                                  <w:marLeft w:val="7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31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8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398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937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7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228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8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496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2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46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85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022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87198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3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9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6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746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61463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879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997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238830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2492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28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94714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hares.com/us/products/239705/ishares-phlx-semiconductor-etf" TargetMode="External"/><Relationship Id="rId13" Type="http://schemas.openxmlformats.org/officeDocument/2006/relationships/hyperlink" Target="https://money.usnews.com/investing/articles/best-semiconductor-etfs-to-buy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www.indmoney.com/blog/us-stocks/semiconductor-etfs-for-your-portfoli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oney.usnews.com/investing/articles/best-semiconductor-etfs-to-buy" TargetMode="External"/><Relationship Id="rId7" Type="http://schemas.openxmlformats.org/officeDocument/2006/relationships/hyperlink" Target="https://money.usnews.com/investing/articles/best-semiconductor-etfs-to-buy" TargetMode="External"/><Relationship Id="rId12" Type="http://schemas.openxmlformats.org/officeDocument/2006/relationships/hyperlink" Target="https://money.usnews.com/investing/articles/best-semiconductor-etfs-to-buy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money.usnews.com/investing/articles/best-semiconductor-etfs-to-buy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oney.usnews.com/investing/articles/best-semiconductor-etfs-to-buy" TargetMode="External"/><Relationship Id="rId11" Type="http://schemas.openxmlformats.org/officeDocument/2006/relationships/hyperlink" Target="https://money.usnews.com/investing/articles/best-semiconductor-etfs-to-buy" TargetMode="External"/><Relationship Id="rId24" Type="http://schemas.openxmlformats.org/officeDocument/2006/relationships/hyperlink" Target="https://pluang.com/en/compare/qqqm-vs-smh" TargetMode="External"/><Relationship Id="rId5" Type="http://schemas.openxmlformats.org/officeDocument/2006/relationships/hyperlink" Target="https://etfdb.com/etfs/industry/semiconductors/" TargetMode="External"/><Relationship Id="rId15" Type="http://schemas.openxmlformats.org/officeDocument/2006/relationships/image" Target="media/image1.png"/><Relationship Id="rId23" Type="http://schemas.openxmlformats.org/officeDocument/2006/relationships/hyperlink" Target="https://www.youtube.com/watch?v=s-DZ9coCjkM&amp;t=257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etfdb.com/etfs/industry/semiconductors/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www.etf.com/sections/news/qualcomm-tear-inside-qcoms-2026-comeback-and-etfs-hold-most" TargetMode="External"/><Relationship Id="rId14" Type="http://schemas.openxmlformats.org/officeDocument/2006/relationships/hyperlink" Target="https://support.google.com/websearch?p=aimode" TargetMode="External"/><Relationship Id="rId22" Type="http://schemas.openxmlformats.org/officeDocument/2006/relationships/hyperlink" Target="https://pluang.com/en/compare/qqqm-vs-smh" TargetMode="External"/><Relationship Id="rId27" Type="http://schemas.openxmlformats.org/officeDocument/2006/relationships/hyperlink" Target="https://money.usnews.com/investing/articles/best-semiconductor-etfs-to-bu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2026-09-10T16:14:00Z</dcterms:created>
  <dcterms:modified xsi:type="dcterms:W3CDTF">2026-09-10T16:22:00Z</dcterms:modified>
</cp:coreProperties>
</file>