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quation-export-verification"/>
    <w:p>
      <w:pPr>
        <w:pStyle w:val="Heading1"/>
      </w:pPr>
      <w:r>
        <w:t xml:space="preserve">Equation export verification</w:t>
      </w:r>
    </w:p>
    <w:p>
      <w:pPr>
        <w:pStyle w:val="FirstParagraph"/>
      </w:pPr>
      <w:r>
        <w:t xml:space="preserve">Local verification fixture, 25 September 2026. Not a replacement publication edition.</w:t>
      </w:r>
    </w:p>
    <w:bookmarkStart w:id="20" w:name="msme-owner-earnings-and-cash-headroom"/>
    <w:p>
      <w:pPr>
        <w:pStyle w:val="Heading2"/>
      </w:pPr>
      <w:r>
        <w:t xml:space="preserve">MSME owner earnings and cash headroom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−</m:t>
          </m:r>
          <m:r>
            <m:t>Δ</m:t>
          </m:r>
          <m:r>
            <m:t>W</m:t>
          </m:r>
        </m:oMath>
      </m:oMathPara>
    </w:p>
    <w:p>
      <w:pPr>
        <w:pStyle w:val="FirstParagraph"/>
      </w:pPr>
      <w:r>
        <w:t xml:space="preserve">OE is estimated annual owner earnings; N is annual normalized net income after replacing owner labour; D is depreciation/amortisation already expensed; A is other justified noncash adjustment; M is annual maintenance investment; ΔW is an increase in required operating working capital. All are KES/year. A release of working capital is negative.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t xml:space="preserve">H is dated headroom, C stated available cash, R additional confirmed collections, U listed due uses, X restricted cash, B the retained reserve and Q the disputed/uncollected amount counted in C or R. All are KES over the stated cash horizon. Subtract the proposed draw from reviewed H.</w:t>
      </w:r>
    </w:p>
    <w:bookmarkEnd w:id="20"/>
    <w:bookmarkStart w:id="21" w:name="thirteen-week-operating-cash-planner"/>
    <w:p>
      <w:pPr>
        <w:pStyle w:val="Heading2"/>
      </w:pPr>
      <w:r>
        <w:t xml:space="preserve">Thirteen-week operating cash planner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Cₜ is week-end cash; Cₜ₋₁ is opening cash; Rₜ is operating cash received, Eₜ new owner funds, Fₜ new borrowing and Uₜ all scheduled cash uses. Values are KES in week t; t runs from 1 to 13.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Reserve funding need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13</m:t>
                  </m:r>
                </m:lim>
              </m:limLow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B is the chosen KES reserve floor and C₀ opening unrestricted cash. This is the initial buffer required to cover the deepest forecast gap, assuming the remaining cash flows are unchanged.</w:t>
      </w:r>
    </w:p>
    <w:bookmarkEnd w:id="21"/>
    <w:bookmarkStart w:id="22" w:name="business-cash-stress-and-warning-planner"/>
    <w:p>
      <w:pPr>
        <w:pStyle w:val="Heading2"/>
      </w:pPr>
      <w:r>
        <w:t xml:space="preserve">Business cash stress and warning planner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All terms are KES for week t: closing cash C, operating receipts R, new owner funds E, new borrowing F and all cash uses U. Opening cash C₀ is unrestricted. No emergency financing is inserted automatically.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t xml:space="preserve">CCC is the cash conversion cycle in days. DIO is inventory days, DSO receivable days and DPO payable days. Use comparable periods and denominators; overdue claims still require review.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Extra weekly cash cost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S is the illustrative KES weekly sales input, mᵦ base contribution margin and mₛ downside margin, entered as percentages. This stress assumes constant sales and immediately paid variable costs; it is separate from editable baseline supplier payments.</w:t>
      </w:r>
    </w:p>
    <w:bookmarkEnd w:id="22"/>
    <w:bookmarkStart w:id="23" w:name="X0ceb08ae9d7c8cdfbe2257021e7e0da278b0514"/>
    <w:p>
      <w:pPr>
        <w:pStyle w:val="Heading2"/>
      </w:pPr>
      <w:r>
        <w:t xml:space="preserve">Detailed business credit and repayment planner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r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Y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cost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rPr>
              <m:nor/>
              <m:sty m:val="p"/>
            </m:rPr>
            <m:t>fees</m:t>
          </m:r>
        </m:oMath>
      </m:oMathPara>
    </w:p>
    <w:p>
      <w:pPr>
        <w:pStyle w:val="FirstParagraph"/>
      </w:pPr>
      <w:r>
        <w:t xml:space="preserve">Iⱼ is interest for interval j (KES), Bⱼ its opening principal (KES), r annual nominal rate as a decimal, Δdⱼ actual whole days in that interval and Y the chosen 360/365 day basis. Fees are percentage-of-original-principal plus fixed KES fees.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withheld charges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</m:e>
                      </m:d>
                    </m:e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365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N is net day-zero advance and P actual original principal, both KES. Rⱼ is the KES repayment at day dⱼ after draw. y is the effective annual cash-flow yield, solved from the displayed dated repayments; a 365-day year is used for this yield.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Simple annualised cost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cost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365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P is original principal and d the facility tenor in days. This simple principal-based comparison differs from the cash-flow yield and is not a regulatory APR.</w:t>
      </w:r>
    </w:p>
    <w:bookmarkEnd w:id="23"/>
    <w:bookmarkStart w:id="24" w:name="unicode-exception-retained-verbatim"/>
    <w:p>
      <w:pPr>
        <w:pStyle w:val="Heading2"/>
      </w:pPr>
      <w:r>
        <w:t xml:space="preserve">Unicode exception (retained verbatim)</w:t>
      </w:r>
    </w:p>
    <w:p>
      <w:pPr>
        <w:pStyle w:val="FirstParagraph"/>
      </w:pPr>
      <w:r>
        <w:t xml:space="preserve">FV = PV × (1 + r)ⁿ. σ² is variance.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2026-09-25T13:22:58Z</dcterms:created>
  <dcterms:modified xsi:type="dcterms:W3CDTF">2026-09-25T13:22:58Z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