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2E4057"/>
          <w:sz w:val="40"/>
          <w:szCs w:val="40"/>
        </w:rPr>
        <w:t xml:space="preserve">Rate My Set — Decision Brief</w:t>
      </w:r>
    </w:p>
    <w:p>
      <w:pPr>
        <w:spacing w:after="240"/>
      </w:pPr>
      <w:r>
        <w:rPr>
          <w:i/>
          <w:iCs/>
          <w:color w:val="555555"/>
          <w:sz w:val="28"/>
          <w:szCs w:val="28"/>
        </w:rPr>
        <w:t xml:space="preserve">q-002: Who can sue us, and under whose laws do we operate?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April 15, 2026</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Decision owner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TBD — assign before the review meeting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Deadline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15, 2026 — before retaining outside counsel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Question 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q-002</w:t>
            </w:r>
          </w:p>
        </w:tc>
      </w:tr>
    </w:tbl>
    <w:p>
      <w:pPr>
        <w:spacing w:after="240"/>
      </w:pPr>
      <w:r>
        <w:t xml:space="preserve"/>
      </w:r>
    </w:p>
    <w:p>
      <w:pPr>
        <w:pStyle w:val="Heading2"/>
      </w:pPr>
      <w:r>
        <w:t xml:space="preserve">The question, in plain language</w:t>
      </w:r>
    </w:p>
    <w:p>
      <w:pPr>
        <w:spacing w:after="120"/>
      </w:pPr>
      <w:r>
        <w:t xml:space="preserve">Rate My Set will host honest reviews of named productions, which creates defamation exposure for the platform and for reviewers. We need to decide which country’s laws primarily shape the design, and where the platform incorporates. That decision drives where we can be sued, which courts can subpoena us, and what legal services cost.</w:t>
      </w:r>
    </w:p>
    <w:p>
      <w:pPr>
        <w:pStyle w:val="Heading2"/>
      </w:pPr>
      <w:r>
        <w:t xml:space="preserve">Why it matters</w:t>
      </w:r>
    </w:p>
    <w:p>
      <w:pPr>
        <w:spacing w:after="120"/>
      </w:pPr>
      <w:r>
        <w:t xml:space="preserve">Every publication choice — what’s public vs. delayed, how text is sanitized, what we store and for how long — is shaped by our legal posture. Pick too permissively and we may be sued out of existence. Pick too restrictively and the product becomes too cautious to be useful.</w:t>
      </w:r>
    </w:p>
    <w:p>
      <w:pPr>
        <w:spacing w:after="120"/>
      </w:pPr>
      <w:r>
        <w:t xml:space="preserve">Jurisdiction also determines whether we can serve EU and UK workers at launch or whether we geo-restrict those regions while we mature.</w:t>
      </w:r>
    </w:p>
    <w:p>
      <w:pPr>
        <w:pStyle w:val="Heading2"/>
      </w:pPr>
      <w:r>
        <w:t xml:space="preserve">Options</w:t>
      </w:r>
    </w:p>
    <w:p>
      <w:pPr>
        <w:pStyle w:val="Heading3"/>
      </w:pPr>
      <w:r>
        <w:t xml:space="preserve">Option 1 — US-first, Section 230 posture  (current engineering recommendation)</w:t>
      </w:r>
    </w:p>
    <w:p>
      <w:pPr>
        <w:spacing w:after="120"/>
      </w:pPr>
      <w:r>
        <w:t xml:space="preserve">Incorporate in the US (Delaware or California, decided with counsel). Operate under US law, which provides meaningful protection to platforms hosting user-generated content via Section 230 of the Communications Decency Act. Geo-restrict EU and UK users at launch if counsel recommends it, and revisit expansion in v2 once the core model is proven.</w:t>
      </w:r>
    </w:p>
    <w:p>
      <w:pPr>
        <w:pStyle w:val="Heading3"/>
      </w:pPr>
      <w:r>
        <w:t xml:space="preserve">Option 2 — EU or UK-first</w:t>
      </w:r>
    </w:p>
    <w:p>
      <w:pPr>
        <w:spacing w:after="120"/>
      </w:pPr>
      <w:r>
        <w:t xml:space="preserve">Incorporate in the UK or an EU member state. Operate under stricter intermediary-liability and defamation rules than the US provides. Publication model defaults to more conservative thresholds: larger k-anonymity, longer delays, more aggressive content sanitization.</w:t>
      </w:r>
    </w:p>
    <w:p>
      <w:pPr>
        <w:pStyle w:val="Heading3"/>
      </w:pPr>
      <w:r>
        <w:t xml:space="preserve">Option 3 — Multi-jurisdictional from day one</w:t>
      </w:r>
    </w:p>
    <w:p>
      <w:pPr>
        <w:spacing w:after="120"/>
      </w:pPr>
      <w:r>
        <w:t xml:space="preserve">Operate globally at launch, with compliance to US, EU, UK, Canada, and possibly others simultaneously. Requires specialist counsel in each jurisdiction and forces most-restrictive-wins rules across the platform. Highest legal and operational cost.</w:t>
      </w:r>
    </w:p>
    <w:p>
      <w:pPr>
        <w:pStyle w:val="Heading2"/>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Option 1: US-first</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Option 2: EU/UK-first</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Option 3: Multi-jurisdiction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Primary legal regime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 Section 230 + state defamation law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UK/EU intermediary liability + defamation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Simultaneous compliance in every region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Platform defamation risk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Lowest (Section 230 shield)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Higher (no Section 230 equivalent)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Highest (every regime applies)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Cost of operating legally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Lowest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Highest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Who we can serve at launch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 cast/crew; EU/UK geo-restricted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UK and EU cast/crew primary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Global at launch</w:t>
            </w:r>
          </w:p>
        </w:tc>
      </w:tr>
    </w:tbl>
    <w:p>
      <w:pPr>
        <w:spacing w:after="240"/>
      </w:pPr>
      <w:r>
        <w:t xml:space="preserve"/>
      </w:r>
    </w:p>
    <w:p>
      <w:pPr>
        <w:pStyle w:val="Heading2"/>
      </w:pPr>
      <w:r>
        <w:t xml:space="preserve">Current recommendation</w:t>
      </w:r>
    </w:p>
    <w:p>
      <w:pPr>
        <w:spacing w:after="120"/>
      </w:pPr>
      <w:r>
        <w:t xml:space="preserve">Option 1, US-first. The primary user base lives and works in the US film and TV industry, and Section 230 gives the platform a meaningful legal shield that no other major jurisdiction matches. Geo-restricting EU and UK at launch is a manageable tradeoff while we validate the core model.</w:t>
      </w:r>
    </w:p>
    <w:p>
      <w:pPr>
        <w:spacing w:after="120"/>
      </w:pPr>
      <w:r>
        <w:t xml:space="preserve">Retaining a media and entertainment attorney before launch is already flagged as an operational prerequisite in the v1 roadmap. That engagement should happen in parallel with Phase 0 engineering work, not after it.</w:t>
      </w:r>
    </w:p>
    <w:p>
      <w:pPr>
        <w:pStyle w:val="Heading2"/>
      </w:pPr>
      <w:r>
        <w:t xml:space="preserve">What we need from you</w:t>
      </w:r>
    </w:p>
    <w:p>
      <w:pPr>
        <w:pStyle w:val="ListParagraph"/>
        <w:numPr>
          <w:ilvl w:val="0"/>
          <w:numId w:val="2"/>
        </w:numPr>
        <w:spacing w:after="80"/>
      </w:pPr>
      <w:r>
        <w:t xml:space="preserve">Approve incorporating in the US (specific state decided with counsel).</w:t>
      </w:r>
    </w:p>
    <w:p>
      <w:pPr>
        <w:pStyle w:val="ListParagraph"/>
        <w:numPr>
          <w:ilvl w:val="0"/>
          <w:numId w:val="2"/>
        </w:numPr>
        <w:spacing w:after="80"/>
      </w:pPr>
      <w:r>
        <w:t xml:space="preserve">Approve the budget and timeline to retain a media and entertainment attorney as a v1 prerequisite.</w:t>
      </w:r>
    </w:p>
    <w:p>
      <w:pPr>
        <w:pStyle w:val="ListParagraph"/>
        <w:numPr>
          <w:ilvl w:val="0"/>
          <w:numId w:val="2"/>
        </w:numPr>
        <w:spacing w:after="80"/>
      </w:pPr>
      <w:r>
        <w:t xml:space="preserve">Agree that we geo-restrict EU and UK at launch if counsel advises it, with expansion revisited in v2.</w:t>
      </w:r>
    </w:p>
    <w:p>
      <w:pPr>
        <w:pStyle w:val="Heading2"/>
      </w:pPr>
      <w:r>
        <w:t xml:space="preserve">How to engage</w:t>
      </w:r>
    </w:p>
    <w:p>
      <w:pPr>
        <w:spacing w:after="120"/>
      </w:pPr>
      <w:r>
        <w:t xml:space="preserve">Please comment directly on this document or respond in the stakeholder decisions thread by May 15, 2026. If you need more context on defamation posture, Section 230 specifics, or subpoena-response playbooks, request the relevant section of the v1 roadmap.</w:t>
      </w:r>
    </w:p>
    <w:p>
      <w:pPr>
        <w:pBdr>
          <w:top w:val="single" w:color="2E4057" w:sz="6" w:space="8"/>
        </w:pBdr>
        <w:spacing w:after="120" w:before="240"/>
      </w:pPr>
      <w:r>
        <w:rPr>
          <w:b/>
          <w:bCs/>
          <w:color w:val="2E4057"/>
          <w:sz w:val="24"/>
          <w:szCs w:val="24"/>
        </w:rPr>
        <w:t xml:space="preserve">Decision record</w:t>
      </w:r>
    </w:p>
    <w:p>
      <w:pPr>
        <w:spacing w:after="120"/>
      </w:pPr>
      <w:r>
        <w:t xml:space="preserve">Decision made: ____________________________________________________</w:t>
      </w:r>
    </w:p>
    <w:p>
      <w:pPr>
        <w:spacing w:after="120"/>
      </w:pPr>
      <w:r>
        <w:t xml:space="preserve">Decision owner: __________________________   Date decided: ________________</w:t>
      </w:r>
    </w:p>
    <w:p>
      <w:pPr>
        <w:spacing w:after="120"/>
      </w:pPr>
      <w:r>
        <w:t xml:space="preserve">Rationale / dissent noted:</w:t>
      </w:r>
    </w:p>
    <w:p>
      <w:pPr>
        <w:spacing w:after="120"/>
      </w:pPr>
      <w:r>
        <w:t xml:space="preserve">________________________________________________________________________</w:t>
      </w:r>
    </w:p>
    <w:p>
      <w:pPr>
        <w:spacing w:after="120"/>
      </w:pPr>
      <w:r>
        <w:t xml:space="preserve">________________________________________________________________________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405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2026-04-15T15:59:38.953Z</dcterms:created>
  <dcterms:modified xsi:type="dcterms:W3CDTF">2026-04-15T15:59:38.953Z</dcterms:modified>
</cp:coreProperties>
</file>

<file path=docProps/custom.xml><?xml version="1.0" encoding="utf-8"?>
<Properties xmlns="http://schemas.openxmlformats.org/officeDocument/2006/custom-properties" xmlns:vt="http://schemas.openxmlformats.org/officeDocument/2006/docPropsVTypes"/>
</file>