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b/>
          <w:bCs/>
          <w:color w:val="2E4057"/>
          <w:sz w:val="40"/>
          <w:szCs w:val="40"/>
        </w:rPr>
        <w:t xml:space="preserve">Rate My Set — Decision Brief</w:t>
      </w:r>
    </w:p>
    <w:p>
      <w:pPr>
        <w:spacing w:after="240"/>
      </w:pPr>
      <w:r>
        <w:rPr>
          <w:i/>
          <w:iCs/>
          <w:color w:val="555555"/>
          <w:sz w:val="28"/>
          <w:szCs w:val="28"/>
        </w:rPr>
        <w:t xml:space="preserve">q-005: What does the platform do with harassment and discrimination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April 15, 2026</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Decision owner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TBD — assign before the review meeting</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Deadline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15, 2026 — before Phase 2 business-logic work begins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Status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Question ID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q-005</w:t>
            </w:r>
          </w:p>
        </w:tc>
      </w:tr>
    </w:tbl>
    <w:p>
      <w:pPr>
        <w:spacing w:after="240"/>
      </w:pPr>
      <w:r>
        <w:t xml:space="preserve"/>
      </w:r>
    </w:p>
    <w:p>
      <w:pPr>
        <w:pStyle w:val="Heading2"/>
      </w:pPr>
      <w:r>
        <w:t xml:space="preserve">The question, in plain language</w:t>
      </w:r>
    </w:p>
    <w:p>
      <w:pPr>
        <w:spacing w:after="120"/>
      </w:pPr>
      <w:r>
        <w:t xml:space="preserve">When a reviewer reports harassment or discrimination on a production, Rate My Set has to decide what happens next. Does the platform just count the report, route the reviewer to an external reporting channel, or hold the claim itself and forward it to authorities under certain conditions? Each choice creates very different commitments.</w:t>
      </w:r>
    </w:p>
    <w:p>
      <w:pPr>
        <w:pStyle w:val="Heading2"/>
      </w:pPr>
      <w:r>
        <w:t xml:space="preserve">Why it matters</w:t>
      </w:r>
    </w:p>
    <w:p>
      <w:pPr>
        <w:spacing w:after="120"/>
      </w:pPr>
      <w:r>
        <w:t xml:space="preserve">This question sits at the heart of why the product exists but also at the center of its legal exposure. Doing too little leaves vulnerable workers without a path to resolution. Doing too much puts the platform into an investigator role it is not equipped to play, and creates significant legal, operational, and safety risk.</w:t>
      </w:r>
    </w:p>
    <w:p>
      <w:pPr>
        <w:pStyle w:val="Heading2"/>
      </w:pPr>
      <w:r>
        <w:t xml:space="preserve">Options</w:t>
      </w:r>
    </w:p>
    <w:p>
      <w:pPr>
        <w:pStyle w:val="Heading3"/>
      </w:pPr>
      <w:r>
        <w:t xml:space="preserve">Option 1 — Count only</w:t>
      </w:r>
    </w:p>
    <w:p>
      <w:pPr>
        <w:spacing w:after="120"/>
      </w:pPr>
      <w:r>
        <w:t xml:space="preserve">The platform displays aggregate counts on each production (“N members reported harassment on this production”). Individual claim text is never collected, stored, or published. Lowest legal exposure; lowest utility for an individual worker trying to get help.</w:t>
      </w:r>
    </w:p>
    <w:p>
      <w:pPr>
        <w:pStyle w:val="Heading3"/>
      </w:pPr>
      <w:r>
        <w:t xml:space="preserve">Option 2 — Count + route-out  (current engineering recommendation)</w:t>
      </w:r>
    </w:p>
    <w:p>
      <w:pPr>
        <w:spacing w:after="120"/>
      </w:pPr>
      <w:r>
        <w:t xml:space="preserve">Counts displayed publicly as in Option 1. Individual claims are not investigated by the platform. When a reviewer files, they are shown a curated list of external reporting channels — EEOC, union grievance procedures, NDA-free reporting services — and can act on those directly.</w:t>
      </w:r>
    </w:p>
    <w:p>
      <w:pPr>
        <w:spacing w:after="120"/>
      </w:pPr>
      <w:r>
        <w:t xml:space="preserve">The platform does not become a middleman. Its role is to surface the signal and point people to the right help.</w:t>
      </w:r>
    </w:p>
    <w:p>
      <w:pPr>
        <w:pStyle w:val="Heading3"/>
      </w:pPr>
      <w:r>
        <w:t xml:space="preserve">Option 3 — Count + identity-escrow + legal forward</w:t>
      </w:r>
    </w:p>
    <w:p>
      <w:pPr>
        <w:spacing w:after="120"/>
      </w:pPr>
      <w:r>
        <w:t xml:space="preserve">Counts displayed publicly. Individual claims stored under split-key identity escrow so that the reviewer’s identity can only be revealed under a court order. Platform can forward claims to authorities when legally compelled. The v1 roadmap already schedules this capability for v2.</w:t>
      </w:r>
    </w:p>
    <w:p>
      <w:pPr>
        <w:pStyle w:val="Heading2"/>
      </w:pPr>
      <w: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Option 1: Count only</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Option 2: Route-out</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Option 3: Identity-escrow</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What happens to claim text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Never stored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stored; user takes action elsewhere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Stored under split-key escrow</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Platform role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Signal aggregator only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Signal aggregator + router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Signal aggregator + custodian</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Legal exposure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Lowest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 (custodial risk)</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Utility for reviewer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Lowest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 — directs them to real help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Highest — platform-supported path</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When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 fallback if Option 2 fails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 target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v2 (already in roadmap)</w:t>
            </w:r>
          </w:p>
        </w:tc>
      </w:tr>
    </w:tbl>
    <w:p>
      <w:pPr>
        <w:spacing w:after="240"/>
      </w:pPr>
      <w:r>
        <w:t xml:space="preserve"/>
      </w:r>
    </w:p>
    <w:p>
      <w:pPr>
        <w:pStyle w:val="Heading2"/>
      </w:pPr>
      <w:r>
        <w:t xml:space="preserve">Current recommendation</w:t>
      </w:r>
    </w:p>
    <w:p>
      <w:pPr>
        <w:spacing w:after="120"/>
      </w:pPr>
      <w:r>
        <w:t xml:space="preserve">Option 2 for v1, with Option 3 deferred to v2 exactly as the roadmap specifies. The platform should not be in the investigation business, and we should not build ourselves into that role. External channels (EEOC, union grievance, NDA-free reporting services) exist and do this work more effectively than we ever could.</w:t>
      </w:r>
    </w:p>
    <w:p>
      <w:pPr>
        <w:spacing w:after="120"/>
      </w:pPr>
      <w:r>
        <w:t xml:space="preserve">Option 1 remains our contingency if counsel flags route-out as creating unexpected liability. We should not default to Option 1 — it is usable but significantly less useful to the worker.</w:t>
      </w:r>
    </w:p>
    <w:p>
      <w:pPr>
        <w:pStyle w:val="Heading2"/>
      </w:pPr>
      <w:r>
        <w:t xml:space="preserve">What we need from you</w:t>
      </w:r>
    </w:p>
    <w:p>
      <w:pPr>
        <w:pStyle w:val="ListParagraph"/>
        <w:numPr>
          <w:ilvl w:val="0"/>
          <w:numId w:val="2"/>
        </w:numPr>
        <w:spacing w:after="80"/>
      </w:pPr>
      <w:r>
        <w:t xml:space="preserve">Agree that Rate My Set does not investigate harassment claims as a matter of policy.</w:t>
      </w:r>
    </w:p>
    <w:p>
      <w:pPr>
        <w:pStyle w:val="ListParagraph"/>
        <w:numPr>
          <w:ilvl w:val="0"/>
          <w:numId w:val="2"/>
        </w:numPr>
        <w:spacing w:after="80"/>
      </w:pPr>
      <w:r>
        <w:t xml:space="preserve">Approve the “count + route-out” model for v1 as the default behavior.</w:t>
      </w:r>
    </w:p>
    <w:p>
      <w:pPr>
        <w:pStyle w:val="ListParagraph"/>
        <w:numPr>
          <w:ilvl w:val="0"/>
          <w:numId w:val="2"/>
        </w:numPr>
        <w:spacing w:after="80"/>
      </w:pPr>
      <w:r>
        <w:t xml:space="preserve">Name the external reporting channels we will partner with for link-out (EEOC, SAG-AFTRA grievance, IATSE, third-party reporting services — pick a concrete starting set).</w:t>
      </w:r>
    </w:p>
    <w:p>
      <w:pPr>
        <w:pStyle w:val="Heading2"/>
      </w:pPr>
      <w:r>
        <w:t xml:space="preserve">How to engage</w:t>
      </w:r>
    </w:p>
    <w:p>
      <w:pPr>
        <w:spacing w:after="120"/>
      </w:pPr>
      <w:r>
        <w:t xml:space="preserve">Please comment on this document or respond in the stakeholder decisions thread by May 15, 2026. If you want to understand how the published aggregate count is computed or how route-out is presented in the reviewer flow, ask and we will send the relevant section of the v1 roadmap.</w:t>
      </w:r>
    </w:p>
    <w:p>
      <w:pPr>
        <w:pBdr>
          <w:top w:val="single" w:color="2E4057" w:sz="6" w:space="8"/>
        </w:pBdr>
        <w:spacing w:after="120" w:before="240"/>
      </w:pPr>
      <w:r>
        <w:rPr>
          <w:b/>
          <w:bCs/>
          <w:color w:val="2E4057"/>
          <w:sz w:val="24"/>
          <w:szCs w:val="24"/>
        </w:rPr>
        <w:t xml:space="preserve">Decision record</w:t>
      </w:r>
    </w:p>
    <w:p>
      <w:pPr>
        <w:spacing w:after="120"/>
      </w:pPr>
      <w:r>
        <w:t xml:space="preserve">Decision made: ____________________________________________________</w:t>
      </w:r>
    </w:p>
    <w:p>
      <w:pPr>
        <w:spacing w:after="120"/>
      </w:pPr>
      <w:r>
        <w:t xml:space="preserve">Decision owner: __________________________   Date decided: ________________</w:t>
      </w:r>
    </w:p>
    <w:p>
      <w:pPr>
        <w:spacing w:after="120"/>
      </w:pPr>
      <w:r>
        <w:t xml:space="preserve">Rationale / dissent noted:</w:t>
      </w:r>
    </w:p>
    <w:p>
      <w:pPr>
        <w:spacing w:after="120"/>
      </w:pPr>
      <w:r>
        <w:t xml:space="preserve">________________________________________________________________________</w:t>
      </w:r>
    </w:p>
    <w:p>
      <w:pPr>
        <w:spacing w:after="120"/>
      </w:pPr>
      <w:r>
        <w:t xml:space="preserve">________________________________________________________________________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405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2026-04-15T15:59:38.992Z</dcterms:created>
  <dcterms:modified xsi:type="dcterms:W3CDTF">2026-04-15T15:59:38.992Z</dcterms:modified>
</cp:coreProperties>
</file>

<file path=docProps/custom.xml><?xml version="1.0" encoding="utf-8"?>
<Properties xmlns="http://schemas.openxmlformats.org/officeDocument/2006/custom-properties" xmlns:vt="http://schemas.openxmlformats.org/officeDocument/2006/docPropsVTypes"/>
</file>