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bCs/>
          <w:color w:val="1C2F5E"/>
          <w:sz w:val="60"/>
          <w:szCs w:val="60"/>
        </w:rPr>
        <w:t xml:space="preserve">RECOVERED SCIENCE</w:t>
      </w:r>
    </w:p>
    <w:p>
      <w:pPr>
        <w:spacing w:after="80" w:before="0"/>
        <w:jc w:val="center"/>
      </w:pPr>
      <w:r>
        <w:rPr>
          <w:rFonts w:ascii="Arial" w:cs="Arial" w:eastAsia="Arial" w:hAnsi="Arial"/>
          <w:i/>
          <w:iCs/>
          <w:color w:val="B8975A"/>
          <w:sz w:val="28"/>
          <w:szCs w:val="28"/>
        </w:rPr>
        <w:t xml:space="preserve">Academic &amp; Ecosystem Partnership Brief</w:t>
      </w:r>
    </w:p>
    <w:p>
      <w:pPr>
        <w:spacing w:after="0" w:before="0"/>
        <w:jc w:val="center"/>
      </w:pPr>
      <w:r>
        <w:rPr>
          <w:rFonts w:ascii="Arial" w:cs="Arial" w:eastAsia="Arial" w:hAnsi="Arial"/>
          <w:color w:val="888888"/>
          <w:sz w:val="20"/>
          <w:szCs w:val="20"/>
        </w:rPr>
        <w:t xml:space="preserve">Human Development Mathematics  ·  THE ÅĻÏEN SCÖÕL  ·  2026</w:t>
      </w:r>
    </w:p>
    <w:p>
      <w:pPr>
        <w:spacing w:after="80" w:before="0"/>
      </w:pPr>
      <w:r>
        <w:t xml:space="preserve"/>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8760"/>
        <w:gridCol w:w="360"/>
      </w:tblGrid>
      <w:tr>
        <w:tc>
          <w:tcPr>
            <w:tcW w:type="dxa" w:w="240"/>
            <w:tcBorders>
              <w:top w:val="none" w:color="FFFFFF" w:sz="0"/>
              <w:left w:val="single" w:color="B8975A" w:sz="16"/>
              <w:bottom w:val="none" w:color="FFFFFF" w:sz="0"/>
              <w:right w:val="none" w:color="FFFFFF" w:sz="0"/>
            </w:tcBorders>
          </w:tcPr>
          <w:p>
            <w:r>
              <w:t xml:space="preserve"/>
            </w:r>
          </w:p>
        </w:tc>
        <w:tc>
          <w:tcPr>
            <w:tcW w:type="dxa" w:w="8760"/>
            <w:tcBorders>
              <w:top w:val="none" w:color="FFFFFF" w:sz="0"/>
              <w:left w:val="none" w:color="FFFFFF" w:sz="0"/>
              <w:bottom w:val="none" w:color="FFFFFF" w:sz="0"/>
              <w:right w:val="none" w:color="FFFFFF" w:sz="0"/>
            </w:tcBorders>
            <w:shd w:fill="FDF9F4" w:val="clear"/>
            <w:tcMar>
              <w:top w:type="dxa" w:w="160"/>
              <w:left w:type="dxa" w:w="200"/>
              <w:bottom w:type="dxa" w:w="160"/>
              <w:right w:type="dxa" w:w="120"/>
            </w:tcMar>
          </w:tcPr>
          <w:p>
            <w:pPr>
              <w:spacing w:after="0" w:before="0"/>
            </w:pPr>
            <w:r>
              <w:rPr>
                <w:rFonts w:ascii="Arial" w:cs="Arial" w:eastAsia="Arial" w:hAnsi="Arial"/>
                <w:i/>
                <w:iCs/>
                <w:color w:val="1C2F5E"/>
                <w:sz w:val="24"/>
                <w:szCs w:val="24"/>
              </w:rPr>
              <w:t xml:space="preserve">HDM is not a novel framework. It is a recovered science — the mathematical intelligence of human development that has always lived in practice, waiting to be named.</w:t>
            </w:r>
          </w:p>
        </w:tc>
        <w:tc>
          <w:tcPr>
            <w:tcW w:type="dxa" w:w="360"/>
            <w:tcBorders>
              <w:top w:val="none" w:color="FFFFFF" w:sz="0"/>
              <w:left w:val="none" w:color="FFFFFF" w:sz="0"/>
              <w:bottom w:val="none" w:color="FFFFFF" w:sz="0"/>
              <w:right w:val="none" w:color="FFFFFF" w:sz="0"/>
            </w:tcBorders>
          </w:tcPr>
          <w:p>
            <w:r>
              <w:t xml:space="preserve"/>
            </w:r>
          </w:p>
        </w:tc>
      </w:tr>
    </w:tbl>
    <w:p>
      <w:pPr>
        <w:spacing w:after="80" w:before="0"/>
      </w:pPr>
      <w:r>
        <w:t xml:space="preserve"/>
      </w:r>
    </w:p>
    <w:p>
      <w:pPr>
        <w:spacing w:after="80" w:before="0"/>
      </w:pPr>
      <w:r>
        <w:t xml:space="preserve"/>
      </w:r>
    </w:p>
    <w:p>
      <w:pPr>
        <w:spacing w:after="80" w:before="0"/>
      </w:pPr>
      <w:r>
        <w:t xml:space="preserve"/>
      </w:r>
    </w:p>
    <w:p>
      <w:r>
        <w:br w:type="page"/>
      </w:r>
    </w:p>
    <w:p>
      <w:pPr>
        <w:pStyle w:val="Heading1"/>
        <w:spacing w:after="160" w:before="480"/>
      </w:pPr>
      <w:r>
        <w:rPr>
          <w:rFonts w:ascii="Arial" w:cs="Arial" w:eastAsia="Arial" w:hAnsi="Arial"/>
          <w:b/>
          <w:bCs/>
          <w:color w:val="1C2F5E"/>
          <w:sz w:val="36"/>
          <w:szCs w:val="36"/>
        </w:rPr>
        <w:t xml:space="preserve">Why This Brief Exists</w:t>
      </w:r>
    </w:p>
    <w:p>
      <w:pPr>
        <w:spacing w:after="100" w:before="60"/>
      </w:pPr>
      <w:r>
        <w:rPr>
          <w:rFonts w:ascii="Arial" w:cs="Arial" w:eastAsia="Arial" w:hAnsi="Arial"/>
          <w:color w:val="1A1A1A"/>
          <w:sz w:val="22"/>
          <w:szCs w:val="22"/>
        </w:rPr>
        <w:t xml:space="preserve">Human Development Mathematics (HDM) maps the trajectory of human consciousness across seven developmental dimensions — what we call the Seven Octaves. It began as original research. It has since revealed itself as recovery.</w:t>
      </w:r>
    </w:p>
    <w:p>
      <w:pPr>
        <w:spacing w:after="100" w:before="60"/>
      </w:pPr>
      <w:r>
        <w:rPr>
          <w:rFonts w:ascii="Arial" w:cs="Arial" w:eastAsia="Arial" w:hAnsi="Arial"/>
          <w:color w:val="1A1A1A"/>
          <w:sz w:val="22"/>
          <w:szCs w:val="22"/>
        </w:rPr>
        <w:t xml:space="preserve">The deeper we map HDM against existing traditions — ethnomathematics, developmental psychology, Ubuntu philosophy, I Ching, embodied craft intelligence — the more clearly we see that the framework is not inventing new knowledge. It is making legible a form of intelligence that has been present across cultures, practices, and centuries.</w:t>
      </w:r>
    </w:p>
    <w:p>
      <w:pPr>
        <w:spacing w:after="100" w:before="60"/>
      </w:pPr>
      <w:r>
        <w:rPr>
          <w:rFonts w:ascii="Arial" w:cs="Arial" w:eastAsia="Arial" w:hAnsi="Arial"/>
          <w:color w:val="1A1A1A"/>
          <w:sz w:val="22"/>
          <w:szCs w:val="22"/>
        </w:rPr>
        <w:t xml:space="preserve">This brief exists to open a conversation with the researchers, institutions, and intellectual communities that have been holding pieces of this mathematics in their own languages. We are not pitching. We are proposing an ecology.</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8760"/>
        <w:gridCol w:w="360"/>
      </w:tblGrid>
      <w:tr>
        <w:tc>
          <w:tcPr>
            <w:tcW w:type="dxa" w:w="240"/>
            <w:tcBorders>
              <w:top w:val="none" w:color="FFFFFF" w:sz="0"/>
              <w:left w:val="single" w:color="B8975A" w:sz="16"/>
              <w:bottom w:val="none" w:color="FFFFFF" w:sz="0"/>
              <w:right w:val="none" w:color="FFFFFF" w:sz="0"/>
            </w:tcBorders>
          </w:tcPr>
          <w:p>
            <w:r>
              <w:t xml:space="preserve"/>
            </w:r>
          </w:p>
        </w:tc>
        <w:tc>
          <w:tcPr>
            <w:tcW w:type="dxa" w:w="8760"/>
            <w:tcBorders>
              <w:top w:val="none" w:color="FFFFFF" w:sz="0"/>
              <w:left w:val="none" w:color="FFFFFF" w:sz="0"/>
              <w:bottom w:val="none" w:color="FFFFFF" w:sz="0"/>
              <w:right w:val="none" w:color="FFFFFF" w:sz="0"/>
            </w:tcBorders>
            <w:shd w:fill="FDF9F4" w:val="clear"/>
            <w:tcMar>
              <w:top w:type="dxa" w:w="160"/>
              <w:left w:type="dxa" w:w="200"/>
              <w:bottom w:type="dxa" w:w="160"/>
              <w:right w:type="dxa" w:w="120"/>
            </w:tcMar>
          </w:tcPr>
          <w:p>
            <w:pPr>
              <w:spacing w:after="0" w:before="0"/>
            </w:pPr>
            <w:r>
              <w:rPr>
                <w:rFonts w:ascii="Arial" w:cs="Arial" w:eastAsia="Arial" w:hAnsi="Arial"/>
                <w:i/>
                <w:iCs/>
                <w:color w:val="1C2F5E"/>
                <w:sz w:val="24"/>
                <w:szCs w:val="24"/>
              </w:rPr>
              <w:t xml:space="preserve">The goal is not to incorporate these traditions into HDM. The goal is to recognize HDM as already part of a larger system — and to build the bridges that allow that system to become visible.</w:t>
            </w:r>
          </w:p>
        </w:tc>
        <w:tc>
          <w:tcPr>
            <w:tcW w:type="dxa" w:w="360"/>
            <w:tcBorders>
              <w:top w:val="none" w:color="FFFFFF" w:sz="0"/>
              <w:left w:val="none" w:color="FFFFFF" w:sz="0"/>
              <w:bottom w:val="none" w:color="FFFFFF" w:sz="0"/>
              <w:right w:val="none" w:color="FFFFFF" w:sz="0"/>
            </w:tcBorders>
          </w:tcPr>
          <w:p>
            <w:r>
              <w:t xml:space="preserve"/>
            </w:r>
          </w:p>
        </w:tc>
      </w:tr>
    </w:tbl>
    <w:p>
      <w:pPr>
        <w:spacing w:after="80" w:before="0"/>
      </w:pPr>
      <w:r>
        <w:t xml:space="preserve"/>
      </w:r>
    </w:p>
    <w:p>
      <w:pPr>
        <w:pStyle w:val="Heading1"/>
        <w:spacing w:after="160" w:before="480"/>
      </w:pPr>
      <w:r>
        <w:rPr>
          <w:rFonts w:ascii="Arial" w:cs="Arial" w:eastAsia="Arial" w:hAnsi="Arial"/>
          <w:b/>
          <w:bCs/>
          <w:color w:val="1C2F5E"/>
          <w:sz w:val="36"/>
          <w:szCs w:val="36"/>
        </w:rPr>
        <w:t xml:space="preserve">What We Are Building</w:t>
      </w:r>
    </w:p>
    <w:p>
      <w:pPr>
        <w:pStyle w:val="Heading2"/>
        <w:spacing w:after="120" w:before="360"/>
      </w:pPr>
      <w:r>
        <w:rPr>
          <w:rFonts w:ascii="Arial" w:cs="Arial" w:eastAsia="Arial" w:hAnsi="Arial"/>
          <w:b/>
          <w:bCs/>
          <w:color w:val="1C2F5E"/>
          <w:sz w:val="26"/>
          <w:szCs w:val="26"/>
        </w:rPr>
        <w:t xml:space="preserve">Three Interconnected Platforms</w:t>
      </w:r>
    </w:p>
    <w:p>
      <w:pPr>
        <w:spacing w:after="100" w:before="60"/>
      </w:pPr>
      <w:r>
        <w:rPr>
          <w:rFonts w:ascii="Arial" w:cs="Arial" w:eastAsia="Arial" w:hAnsi="Arial"/>
          <w:color w:val="1A1A1A"/>
          <w:sz w:val="22"/>
          <w:szCs w:val="22"/>
        </w:rPr>
        <w:t xml:space="preserve">HDM (Human Development Mathematics) — The intellectual and scientific core. A framework for mapping developmental position across seven dimensions, expressed as a measurable API and an experiential portal (the HDM Exploratorium).</w:t>
      </w:r>
    </w:p>
    <w:p>
      <w:pPr>
        <w:spacing w:after="100" w:before="60"/>
      </w:pPr>
      <w:r>
        <w:rPr>
          <w:rFonts w:ascii="Arial" w:cs="Arial" w:eastAsia="Arial" w:hAnsi="Arial"/>
          <w:color w:val="1A1A1A"/>
          <w:sz w:val="22"/>
          <w:szCs w:val="22"/>
        </w:rPr>
        <w:t xml:space="preserve">PING™ (Pattern Identification &amp; Notification Gizmo) — A B2B enterprise platform that surfaces relational and developmental patterns in team communication metadata. The dot-connecting mechanism. Non-prescriptive by design: PING surfaces connections without naming them. The match is the user's to make.</w:t>
      </w:r>
    </w:p>
    <w:p>
      <w:pPr>
        <w:spacing w:after="100" w:before="60"/>
      </w:pPr>
      <w:r>
        <w:rPr>
          <w:rFonts w:ascii="Arial" w:cs="Arial" w:eastAsia="Arial" w:hAnsi="Arial"/>
          <w:color w:val="1A1A1A"/>
          <w:sz w:val="22"/>
          <w:szCs w:val="22"/>
        </w:rPr>
        <w:t xml:space="preserve">THE ÅĻÏEN SCÖÕL (tÅs) — The educational and cultural arm. Produces experiential content, diagnostic tools, editorial expansions, and the Quiet Warrior Productions game studio. The audience is always 7 years old in optimal cognition — clarity without condescension.</w:t>
      </w:r>
    </w:p>
    <w:p>
      <w:pPr>
        <w:spacing w:after="80" w:before="0"/>
      </w:pPr>
      <w:r>
        <w:t xml:space="preserve"/>
      </w:r>
    </w:p>
    <w:p>
      <w:pPr>
        <w:pStyle w:val="Heading2"/>
        <w:spacing w:after="120" w:before="360"/>
      </w:pPr>
      <w:r>
        <w:rPr>
          <w:rFonts w:ascii="Arial" w:cs="Arial" w:eastAsia="Arial" w:hAnsi="Arial"/>
          <w:b/>
          <w:bCs/>
          <w:color w:val="1C2F5E"/>
          <w:sz w:val="26"/>
          <w:szCs w:val="26"/>
        </w:rPr>
        <w:t xml:space="preserve">The Ecological Union</w:t>
      </w:r>
    </w:p>
    <w:p>
      <w:pPr>
        <w:spacing w:after="100" w:before="60"/>
      </w:pPr>
      <w:r>
        <w:rPr>
          <w:rFonts w:ascii="Arial" w:cs="Arial" w:eastAsia="Arial" w:hAnsi="Arial"/>
          <w:color w:val="1A1A1A"/>
          <w:sz w:val="22"/>
          <w:szCs w:val="22"/>
        </w:rPr>
        <w:t xml:space="preserve">These five knowledge traditions — and the communities that carry them — represent the intellectual ecosystem HDM is recovering from and contributing back to:</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c>
          <w:tcPr>
            <w:tcW w:type="dxa" w:w="1872"/>
            <w:tcBorders>
              <w:top w:val="single" w:color="B8975A" w:sz="4"/>
              <w:left w:val="none" w:color="FFFFFF" w:sz="0"/>
              <w:bottom w:val="single" w:color="B8975A" w:sz="4"/>
              <w:right w:val="single" w:color="E8E4DF" w:sz="4"/>
            </w:tcBorders>
            <w:shd w:fill="F0EDE8" w:val="clear"/>
            <w:tcMar>
              <w:top w:type="dxa" w:w="140"/>
              <w:left w:type="dxa" w:w="120"/>
              <w:bottom w:type="dxa" w:w="140"/>
              <w:right w:type="dxa" w:w="120"/>
            </w:tcMar>
          </w:tcPr>
          <w:p>
            <w:pPr>
              <w:spacing w:after="60" w:before="0"/>
              <w:jc w:val="center"/>
            </w:pPr>
            <w:r>
              <w:rPr>
                <w:rFonts w:ascii="Arial" w:cs="Arial" w:eastAsia="Arial" w:hAnsi="Arial"/>
                <w:b/>
                <w:bCs/>
                <w:color w:val="1C2F5E"/>
                <w:sz w:val="16"/>
                <w:szCs w:val="16"/>
              </w:rPr>
              <w:t xml:space="preserve">ETHNOMATHEMATICS</w:t>
            </w:r>
          </w:p>
          <w:p>
            <w:pPr>
              <w:spacing w:after="20" w:before="0"/>
              <w:jc w:val="center"/>
            </w:pPr>
            <w:r>
              <w:rPr>
                <w:rFonts w:ascii="Arial" w:cs="Arial" w:eastAsia="Arial" w:hAnsi="Arial"/>
                <w:i/>
                <w:iCs/>
                <w:color w:val="888888"/>
                <w:sz w:val="16"/>
                <w:szCs w:val="16"/>
              </w:rPr>
              <w:t xml:space="preserve">Paulus Gerdes, ISGEm</w:t>
            </w:r>
          </w:p>
          <w:p>
            <w:pPr>
              <w:spacing w:after="20" w:before="0"/>
              <w:jc w:val="center"/>
            </w:pPr>
            <w:r>
              <w:rPr>
                <w:rFonts w:ascii="Arial" w:cs="Arial" w:eastAsia="Arial" w:hAnsi="Arial"/>
                <w:i/>
                <w:iCs/>
                <w:color w:val="888888"/>
                <w:sz w:val="16"/>
                <w:szCs w:val="16"/>
              </w:rPr>
              <w:t xml:space="preserve">Math embedded in practice</w:t>
            </w:r>
          </w:p>
          <w:p>
            <w:pPr>
              <w:spacing w:after="20" w:before="0"/>
              <w:jc w:val="center"/>
            </w:pPr>
            <w:r>
              <w:rPr>
                <w:rFonts w:ascii="Arial" w:cs="Arial" w:eastAsia="Arial" w:hAnsi="Arial"/>
                <w:i/>
                <w:iCs/>
                <w:color w:val="888888"/>
                <w:sz w:val="16"/>
                <w:szCs w:val="16"/>
              </w:rPr>
              <w:t xml:space="preserve">Cultural transmission</w:t>
            </w:r>
          </w:p>
        </w:tc>
        <w:tc>
          <w:tcPr>
            <w:tcW w:type="dxa" w:w="1872"/>
            <w:tcBorders>
              <w:top w:val="single" w:color="B8975A" w:sz="4"/>
              <w:left w:val="none" w:color="FFFFFF" w:sz="0"/>
              <w:bottom w:val="single" w:color="B8975A" w:sz="4"/>
              <w:right w:val="single" w:color="E8E4DF" w:sz="4"/>
            </w:tcBorders>
            <w:shd w:fill="F0EDE8" w:val="clear"/>
            <w:tcMar>
              <w:top w:type="dxa" w:w="140"/>
              <w:left w:type="dxa" w:w="120"/>
              <w:bottom w:type="dxa" w:w="140"/>
              <w:right w:type="dxa" w:w="120"/>
            </w:tcMar>
          </w:tcPr>
          <w:p>
            <w:pPr>
              <w:spacing w:after="60" w:before="0"/>
              <w:jc w:val="center"/>
            </w:pPr>
            <w:r>
              <w:rPr>
                <w:rFonts w:ascii="Arial" w:cs="Arial" w:eastAsia="Arial" w:hAnsi="Arial"/>
                <w:b/>
                <w:bCs/>
                <w:color w:val="1C2F5E"/>
                <w:sz w:val="16"/>
                <w:szCs w:val="16"/>
              </w:rPr>
              <w:t xml:space="preserve">VERTICAL DEVELOPMENT</w:t>
            </w:r>
          </w:p>
          <w:p>
            <w:pPr>
              <w:spacing w:after="20" w:before="0"/>
              <w:jc w:val="center"/>
            </w:pPr>
            <w:r>
              <w:rPr>
                <w:rFonts w:ascii="Arial" w:cs="Arial" w:eastAsia="Arial" w:hAnsi="Arial"/>
                <w:i/>
                <w:iCs/>
                <w:color w:val="888888"/>
                <w:sz w:val="16"/>
                <w:szCs w:val="16"/>
              </w:rPr>
              <w:t xml:space="preserve">Cook-Greuter, Kegan</w:t>
            </w:r>
          </w:p>
          <w:p>
            <w:pPr>
              <w:spacing w:after="20" w:before="0"/>
              <w:jc w:val="center"/>
            </w:pPr>
            <w:r>
              <w:rPr>
                <w:rFonts w:ascii="Arial" w:cs="Arial" w:eastAsia="Arial" w:hAnsi="Arial"/>
                <w:i/>
                <w:iCs/>
                <w:color w:val="888888"/>
                <w:sz w:val="16"/>
                <w:szCs w:val="16"/>
              </w:rPr>
              <w:t xml:space="preserve">Stages of meaning-making</w:t>
            </w:r>
          </w:p>
          <w:p>
            <w:pPr>
              <w:spacing w:after="20" w:before="0"/>
              <w:jc w:val="center"/>
            </w:pPr>
            <w:r>
              <w:rPr>
                <w:rFonts w:ascii="Arial" w:cs="Arial" w:eastAsia="Arial" w:hAnsi="Arial"/>
                <w:i/>
                <w:iCs/>
                <w:color w:val="888888"/>
                <w:sz w:val="16"/>
                <w:szCs w:val="16"/>
              </w:rPr>
              <w:t xml:space="preserve">Adult consciousness growth</w:t>
            </w:r>
          </w:p>
        </w:tc>
        <w:tc>
          <w:tcPr>
            <w:tcW w:type="dxa" w:w="1872"/>
            <w:tcBorders>
              <w:top w:val="single" w:color="B8975A" w:sz="4"/>
              <w:left w:val="none" w:color="FFFFFF" w:sz="0"/>
              <w:bottom w:val="single" w:color="B8975A" w:sz="4"/>
              <w:right w:val="single" w:color="E8E4DF" w:sz="4"/>
            </w:tcBorders>
            <w:shd w:fill="F0EDE8" w:val="clear"/>
            <w:tcMar>
              <w:top w:type="dxa" w:w="140"/>
              <w:left w:type="dxa" w:w="120"/>
              <w:bottom w:type="dxa" w:w="140"/>
              <w:right w:type="dxa" w:w="120"/>
            </w:tcMar>
          </w:tcPr>
          <w:p>
            <w:pPr>
              <w:spacing w:after="60" w:before="0"/>
              <w:jc w:val="center"/>
            </w:pPr>
            <w:r>
              <w:rPr>
                <w:rFonts w:ascii="Arial" w:cs="Arial" w:eastAsia="Arial" w:hAnsi="Arial"/>
                <w:b/>
                <w:bCs/>
                <w:color w:val="1C2F5E"/>
                <w:sz w:val="16"/>
                <w:szCs w:val="16"/>
              </w:rPr>
              <w:t xml:space="preserve">UBUNTU PHILOSOPHY</w:t>
            </w:r>
          </w:p>
          <w:p>
            <w:pPr>
              <w:spacing w:after="20" w:before="0"/>
              <w:jc w:val="center"/>
            </w:pPr>
            <w:r>
              <w:rPr>
                <w:rFonts w:ascii="Arial" w:cs="Arial" w:eastAsia="Arial" w:hAnsi="Arial"/>
                <w:i/>
                <w:iCs/>
                <w:color w:val="888888"/>
                <w:sz w:val="16"/>
                <w:szCs w:val="16"/>
              </w:rPr>
              <w:t xml:space="preserve">Makerere, Maputo</w:t>
            </w:r>
          </w:p>
          <w:p>
            <w:pPr>
              <w:spacing w:after="20" w:before="0"/>
              <w:jc w:val="center"/>
            </w:pPr>
            <w:r>
              <w:rPr>
                <w:rFonts w:ascii="Arial" w:cs="Arial" w:eastAsia="Arial" w:hAnsi="Arial"/>
                <w:i/>
                <w:iCs/>
                <w:color w:val="888888"/>
                <w:sz w:val="16"/>
                <w:szCs w:val="16"/>
              </w:rPr>
              <w:t xml:space="preserve">"I am because we are"</w:t>
            </w:r>
          </w:p>
          <w:p>
            <w:pPr>
              <w:spacing w:after="20" w:before="0"/>
              <w:jc w:val="center"/>
            </w:pPr>
            <w:r>
              <w:rPr>
                <w:rFonts w:ascii="Arial" w:cs="Arial" w:eastAsia="Arial" w:hAnsi="Arial"/>
                <w:i/>
                <w:iCs/>
                <w:color w:val="888888"/>
                <w:sz w:val="16"/>
                <w:szCs w:val="16"/>
              </w:rPr>
              <w:t xml:space="preserve">Relational ontology</w:t>
            </w:r>
          </w:p>
        </w:tc>
        <w:tc>
          <w:tcPr>
            <w:tcW w:type="dxa" w:w="1872"/>
            <w:tcBorders>
              <w:top w:val="single" w:color="B8975A" w:sz="4"/>
              <w:left w:val="none" w:color="FFFFFF" w:sz="0"/>
              <w:bottom w:val="single" w:color="B8975A" w:sz="4"/>
              <w:right w:val="single" w:color="E8E4DF" w:sz="4"/>
            </w:tcBorders>
            <w:shd w:fill="F0EDE8" w:val="clear"/>
            <w:tcMar>
              <w:top w:type="dxa" w:w="140"/>
              <w:left w:type="dxa" w:w="120"/>
              <w:bottom w:type="dxa" w:w="140"/>
              <w:right w:type="dxa" w:w="120"/>
            </w:tcMar>
          </w:tcPr>
          <w:p>
            <w:pPr>
              <w:spacing w:after="60" w:before="0"/>
              <w:jc w:val="center"/>
            </w:pPr>
            <w:r>
              <w:rPr>
                <w:rFonts w:ascii="Arial" w:cs="Arial" w:eastAsia="Arial" w:hAnsi="Arial"/>
                <w:b/>
                <w:bCs/>
                <w:color w:val="1C2F5E"/>
                <w:sz w:val="16"/>
                <w:szCs w:val="16"/>
              </w:rPr>
              <w:t xml:space="preserve">I CHING / EAST</w:t>
            </w:r>
          </w:p>
          <w:p>
            <w:pPr>
              <w:spacing w:after="20" w:before="0"/>
              <w:jc w:val="center"/>
            </w:pPr>
            <w:r>
              <w:rPr>
                <w:rFonts w:ascii="Arial" w:cs="Arial" w:eastAsia="Arial" w:hAnsi="Arial"/>
                <w:i/>
                <w:iCs/>
                <w:color w:val="888888"/>
                <w:sz w:val="16"/>
                <w:szCs w:val="16"/>
              </w:rPr>
              <w:t xml:space="preserve">Binary intelligence</w:t>
            </w:r>
          </w:p>
          <w:p>
            <w:pPr>
              <w:spacing w:after="20" w:before="0"/>
              <w:jc w:val="center"/>
            </w:pPr>
            <w:r>
              <w:rPr>
                <w:rFonts w:ascii="Arial" w:cs="Arial" w:eastAsia="Arial" w:hAnsi="Arial"/>
                <w:i/>
                <w:iCs/>
                <w:color w:val="888888"/>
                <w:sz w:val="16"/>
                <w:szCs w:val="16"/>
              </w:rPr>
              <w:t xml:space="preserve">Deveopmental navigation</w:t>
            </w:r>
          </w:p>
          <w:p>
            <w:pPr>
              <w:spacing w:after="20" w:before="0"/>
              <w:jc w:val="center"/>
            </w:pPr>
            <w:r>
              <w:rPr>
                <w:rFonts w:ascii="Arial" w:cs="Arial" w:eastAsia="Arial" w:hAnsi="Arial"/>
                <w:i/>
                <w:iCs/>
                <w:color w:val="888888"/>
                <w:sz w:val="16"/>
                <w:szCs w:val="16"/>
              </w:rPr>
              <w:t xml:space="preserve">Non-prescriptive wisdom</w:t>
            </w:r>
          </w:p>
        </w:tc>
        <w:tc>
          <w:tcPr>
            <w:tcW w:type="dxa" w:w="1872"/>
            <w:tcBorders>
              <w:top w:val="single" w:color="B8975A" w:sz="4"/>
              <w:left w:val="none" w:color="FFFFFF" w:sz="0"/>
              <w:bottom w:val="single" w:color="B8975A" w:sz="4"/>
              <w:right w:val="single" w:color="E8E4DF" w:sz="4"/>
            </w:tcBorders>
            <w:shd w:fill="1C2F5E" w:val="clear"/>
            <w:tcMar>
              <w:top w:type="dxa" w:w="140"/>
              <w:left w:type="dxa" w:w="120"/>
              <w:bottom w:type="dxa" w:w="140"/>
              <w:right w:type="dxa" w:w="120"/>
            </w:tcMar>
          </w:tcPr>
          <w:p>
            <w:pPr>
              <w:spacing w:after="60" w:before="0"/>
              <w:jc w:val="center"/>
            </w:pPr>
            <w:r>
              <w:rPr>
                <w:rFonts w:ascii="Arial" w:cs="Arial" w:eastAsia="Arial" w:hAnsi="Arial"/>
                <w:b/>
                <w:bCs/>
                <w:color w:val="FFFFFF"/>
                <w:sz w:val="16"/>
                <w:szCs w:val="16"/>
              </w:rPr>
              <w:t xml:space="preserve">HDM</w:t>
            </w:r>
          </w:p>
          <w:p>
            <w:pPr>
              <w:spacing w:after="20" w:before="0"/>
              <w:jc w:val="center"/>
            </w:pPr>
            <w:r>
              <w:rPr>
                <w:rFonts w:ascii="Arial" w:cs="Arial" w:eastAsia="Arial" w:hAnsi="Arial"/>
                <w:i/>
                <w:iCs/>
                <w:color w:val="DDDDDD"/>
                <w:sz w:val="16"/>
                <w:szCs w:val="16"/>
              </w:rPr>
              <w:t xml:space="preserve">RECOVERED SCIENCE</w:t>
            </w:r>
          </w:p>
          <w:p>
            <w:pPr>
              <w:spacing w:after="20" w:before="0"/>
              <w:jc w:val="center"/>
            </w:pPr>
            <w:r>
              <w:rPr>
                <w:rFonts w:ascii="Arial" w:cs="Arial" w:eastAsia="Arial" w:hAnsi="Arial"/>
                <w:i/>
                <w:iCs/>
                <w:color w:val="DDDDDD"/>
                <w:sz w:val="16"/>
                <w:szCs w:val="16"/>
              </w:rPr>
              <w:t xml:space="preserve">Seven Octaves</w:t>
            </w:r>
          </w:p>
          <w:p>
            <w:pPr>
              <w:spacing w:after="20" w:before="0"/>
              <w:jc w:val="center"/>
            </w:pPr>
            <w:r>
              <w:rPr>
                <w:rFonts w:ascii="Arial" w:cs="Arial" w:eastAsia="Arial" w:hAnsi="Arial"/>
                <w:i/>
                <w:iCs/>
                <w:color w:val="DDDDDD"/>
                <w:sz w:val="16"/>
                <w:szCs w:val="16"/>
              </w:rPr>
              <w:t xml:space="preserve">Pattern intelligence</w:t>
            </w:r>
          </w:p>
        </w:tc>
      </w:tr>
    </w:tbl>
    <w:p>
      <w:pPr>
        <w:spacing w:after="80" w:before="0"/>
      </w:pPr>
      <w:r>
        <w:t xml:space="preserve"/>
      </w:r>
    </w:p>
    <w:p>
      <w:pPr>
        <w:spacing w:after="100" w:before="60"/>
      </w:pPr>
      <w:r>
        <w:rPr>
          <w:rFonts w:ascii="Arial" w:cs="Arial" w:eastAsia="Arial" w:hAnsi="Arial"/>
          <w:color w:val="1A1A1A"/>
          <w:sz w:val="22"/>
          <w:szCs w:val="22"/>
        </w:rPr>
        <w:t xml:space="preserve">Academic partnership is not a branding strategy. It is structural integrity. When we say HDM is recovered science, we need the scholars of recovered science in the conversation.</w:t>
      </w:r>
    </w:p>
    <w:p>
      <w:pPr>
        <w:spacing w:after="80" w:before="0"/>
      </w:pPr>
      <w:r>
        <w:t xml:space="preserve"/>
      </w:r>
    </w:p>
    <w:p>
      <w:r>
        <w:br w:type="page"/>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C2F5E"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TIER 1</w:t>
            </w:r>
          </w:p>
        </w:tc>
        <w:tc>
          <w:tcPr>
            <w:tcW w:type="dxa" w:w="7960"/>
            <w:tcBorders>
              <w:top w:val="none" w:color="FFFFFF" w:sz="0"/>
              <w:left w:val="none" w:color="FFFFFF" w:sz="0"/>
              <w:bottom w:val="none" w:color="FFFFFF" w:sz="0"/>
              <w:right w:val="none" w:color="FFFFFF" w:sz="0"/>
            </w:tcBorders>
            <w:shd w:fill="EDF0F4" w:val="clear"/>
            <w:tcMar>
              <w:top w:type="dxa" w:w="120"/>
              <w:left w:type="dxa" w:w="200"/>
              <w:bottom w:type="dxa" w:w="120"/>
              <w:right w:type="dxa" w:w="120"/>
            </w:tcMar>
            <w:vAlign w:val="center"/>
          </w:tcPr>
          <w:p>
            <w:r>
              <w:rPr>
                <w:rFonts w:ascii="Arial" w:cs="Arial" w:eastAsia="Arial" w:hAnsi="Arial"/>
                <w:b/>
                <w:bCs/>
                <w:color w:val="1C2F5E"/>
                <w:sz w:val="24"/>
                <w:szCs w:val="24"/>
              </w:rPr>
              <w:t xml:space="preserve">Intellectual Lineage Partners — These are the scholars whose work HDM is most directly in conversation with.</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975A" w:sz="4"/>
              <w:left w:val="single" w:color="B8975A" w:sz="8"/>
              <w:bottom w:val="none" w:color="FFFFFF" w:sz="0"/>
              <w:right w:val="none" w:color="FFFFFF" w:sz="0"/>
            </w:tcBorders>
            <w:shd w:fill="F5F1EB" w:val="clear"/>
            <w:tcMar>
              <w:top w:type="dxa" w:w="120"/>
              <w:left w:type="dxa" w:w="200"/>
              <w:bottom w:type="dxa" w:w="80"/>
              <w:right w:type="dxa" w:w="120"/>
            </w:tcMar>
          </w:tcPr>
          <w:p>
            <w:pPr>
              <w:spacing w:after="40" w:before="0"/>
            </w:pPr>
            <w:r>
              <w:rPr>
                <w:rFonts w:ascii="Arial" w:cs="Arial" w:eastAsia="Arial" w:hAnsi="Arial"/>
                <w:b/>
                <w:bCs/>
                <w:color w:val="1C2F5E"/>
                <w:sz w:val="24"/>
                <w:szCs w:val="24"/>
              </w:rPr>
              <w:t xml:space="preserve">Milton Rosa</w:t>
            </w:r>
          </w:p>
          <w:p>
            <w:pPr>
              <w:spacing w:after="0" w:before="0"/>
            </w:pPr>
            <w:r>
              <w:rPr>
                <w:rFonts w:ascii="Arial" w:cs="Arial" w:eastAsia="Arial" w:hAnsi="Arial"/>
                <w:i/>
                <w:iCs/>
                <w:color w:val="888888"/>
                <w:sz w:val="20"/>
                <w:szCs w:val="20"/>
              </w:rPr>
              <w:t xml:space="preserve">Ethnomathematics Researcher  ·  ISGEm / California State University Sacramento</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WHY THIS PERSON  </w:t>
            </w:r>
            <w:r>
              <w:rPr>
                <w:rFonts w:ascii="Arial" w:cs="Arial" w:eastAsia="Arial" w:hAnsi="Arial"/>
                <w:color w:val="1A1A1A"/>
                <w:sz w:val="20"/>
                <w:szCs w:val="20"/>
              </w:rPr>
              <w:t xml:space="preserve">Milton Rosa is among the most active living ethnomathematics researchers carrying Paulus Gerdes' legacy forward into curriculum and education. He bridges the academic ethnomathematics tradition to applied practice — exactly where HDM lives.</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ALIGNMENT WITH HDM  </w:t>
            </w:r>
            <w:r>
              <w:rPr>
                <w:rFonts w:ascii="Arial" w:cs="Arial" w:eastAsia="Arial" w:hAnsi="Arial"/>
                <w:color w:val="1A1A1A"/>
                <w:sz w:val="20"/>
                <w:szCs w:val="20"/>
              </w:rPr>
              <w:t xml:space="preserve">Gerdes' 'frozen mathematics' thesis — that mathematical intelligence is embedded in cultural practice — is the intellectual foundation for HDM's claim to be recovered science. Rosa's work connects that thesis to contemporary education and community development.</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APPROACH  </w:t>
            </w:r>
            <w:r>
              <w:rPr>
                <w:rFonts w:ascii="Arial" w:cs="Arial" w:eastAsia="Arial" w:hAnsi="Arial"/>
                <w:color w:val="1A1A1A"/>
                <w:sz w:val="20"/>
                <w:szCs w:val="20"/>
              </w:rPr>
              <w:t xml:space="preserve">Present the Seven Bridges document (Gerdes → HDM) and invite him into a dialogue about whether HDM's framework constitutes an instance of the developmental mathematics Gerdes identified across African and South American craft traditions.</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OUTREACH  </w:t>
            </w:r>
            <w:r>
              <w:rPr>
                <w:rFonts w:ascii="Arial" w:cs="Arial" w:eastAsia="Arial" w:hAnsi="Arial"/>
                <w:color w:val="1A1A1A"/>
                <w:sz w:val="20"/>
                <w:szCs w:val="20"/>
              </w:rPr>
              <w:t xml:space="preserve">ISGEm maintains an active newsletter and conference circuit. Submission of a paper or panel proposal on 'developmental mathematics as recovered ethnomathematical practice' would create a natural entry point. Direct email through Sacramento State faculty directory.</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NOTE  </w:t>
            </w:r>
            <w:r>
              <w:rPr>
                <w:rFonts w:ascii="Arial" w:cs="Arial" w:eastAsia="Arial" w:hAnsi="Arial"/>
                <w:color w:val="1A1A1A"/>
                <w:sz w:val="20"/>
                <w:szCs w:val="20"/>
              </w:rPr>
              <w:t xml:space="preserve">ISGEm's Journal of Mathematics and Culture is a potential publication venue for a peer-reviewed version of the bridge document.</w:t>
            </w:r>
          </w:p>
        </w:tc>
      </w:tr>
      <w:tr>
        <w:tc>
          <w:tcPr>
            <w:tcW w:type="dxa" w:w="9360"/>
            <w:tcBorders>
              <w:top w:val="single" w:color="CCBBAA" w:sz="4"/>
              <w:left w:val="none" w:color="FFFFFF" w:sz="0"/>
              <w:bottom w:val="none" w:color="FFFFFF" w:sz="0"/>
              <w:right w:val="none" w:color="FFFFFF" w:sz="0"/>
            </w:tcBorders>
          </w:tcPr>
          <w:p>
            <w:pPr>
              <w:spacing w:after="0" w:before="0"/>
            </w:pPr>
            <w:r>
              <w:t xml:space="preserve"/>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975A" w:sz="4"/>
              <w:left w:val="single" w:color="B8975A" w:sz="8"/>
              <w:bottom w:val="none" w:color="FFFFFF" w:sz="0"/>
              <w:right w:val="none" w:color="FFFFFF" w:sz="0"/>
            </w:tcBorders>
            <w:shd w:fill="F5F1EB" w:val="clear"/>
            <w:tcMar>
              <w:top w:type="dxa" w:w="120"/>
              <w:left w:type="dxa" w:w="200"/>
              <w:bottom w:type="dxa" w:w="80"/>
              <w:right w:type="dxa" w:w="120"/>
            </w:tcMar>
          </w:tcPr>
          <w:p>
            <w:pPr>
              <w:spacing w:after="40" w:before="0"/>
            </w:pPr>
            <w:r>
              <w:rPr>
                <w:rFonts w:ascii="Arial" w:cs="Arial" w:eastAsia="Arial" w:hAnsi="Arial"/>
                <w:b/>
                <w:bCs/>
                <w:color w:val="1C2F5E"/>
                <w:sz w:val="24"/>
                <w:szCs w:val="24"/>
              </w:rPr>
              <w:t xml:space="preserve">Susanne Cook-Greuter</w:t>
            </w:r>
          </w:p>
          <w:p>
            <w:pPr>
              <w:spacing w:after="0" w:before="0"/>
            </w:pPr>
            <w:r>
              <w:rPr>
                <w:rFonts w:ascii="Arial" w:cs="Arial" w:eastAsia="Arial" w:hAnsi="Arial"/>
                <w:i/>
                <w:iCs/>
                <w:color w:val="888888"/>
                <w:sz w:val="20"/>
                <w:szCs w:val="20"/>
              </w:rPr>
              <w:t xml:space="preserve">Developmental Psychologist, Founder of MAP (Maturity Assessment Profile)  ·  Harvard (former), Cook-Greuter &amp; Associates</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WHY THIS PERSON  </w:t>
            </w:r>
            <w:r>
              <w:rPr>
                <w:rFonts w:ascii="Arial" w:cs="Arial" w:eastAsia="Arial" w:hAnsi="Arial"/>
                <w:color w:val="1A1A1A"/>
                <w:sz w:val="20"/>
                <w:szCs w:val="20"/>
              </w:rPr>
              <w:t xml:space="preserve">Cook-Greuter's 9-stage model of ego development is the most rigorous cartography of adult consciousness available in Western psychology. Her work on post-conventional stages directly parallels HDM's Octaves 5-7 (Trust Velocity, Purpose Alignment, Emergent Coherence).</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ALIGNMENT WITH HDM  </w:t>
            </w:r>
            <w:r>
              <w:rPr>
                <w:rFonts w:ascii="Arial" w:cs="Arial" w:eastAsia="Arial" w:hAnsi="Arial"/>
                <w:color w:val="1A1A1A"/>
                <w:sz w:val="20"/>
                <w:szCs w:val="20"/>
              </w:rPr>
              <w:t xml:space="preserve">Cook-Greuter's framework — like HDM — treats development as non-linear, spiral, and not entirely accessible to the developing person themselves. Her validation instruments (MAP) offer a methodological model for HDM's assessment architecture.</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APPROACH  </w:t>
            </w:r>
            <w:r>
              <w:rPr>
                <w:rFonts w:ascii="Arial" w:cs="Arial" w:eastAsia="Arial" w:hAnsi="Arial"/>
                <w:color w:val="1A1A1A"/>
                <w:sz w:val="20"/>
                <w:szCs w:val="20"/>
              </w:rPr>
              <w:t xml:space="preserve">Share the HDM API platform brief alongside a specific mapping of HDM Octaves to Cook-Greuter's stages. The question to open with: 'Where does your framework see what ours names?' The gap between frameworks is the generative zone.</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OUTREACH  </w:t>
            </w:r>
            <w:r>
              <w:rPr>
                <w:rFonts w:ascii="Arial" w:cs="Arial" w:eastAsia="Arial" w:hAnsi="Arial"/>
                <w:color w:val="1A1A1A"/>
                <w:sz w:val="20"/>
                <w:szCs w:val="20"/>
              </w:rPr>
              <w:t xml:space="preserve">Cook-Greuter is active in the Vertical Development Academy network and accessible at conferences like Integral European Conference and Leadership Agility Summit. She has collaborated with corporate development firms — relevant if a PING enterprise pathway is in scope.</w:t>
            </w:r>
          </w:p>
        </w:tc>
      </w:tr>
      <w:tr>
        <w:tc>
          <w:tcPr>
            <w:tcW w:type="dxa" w:w="9360"/>
            <w:tcBorders>
              <w:top w:val="single" w:color="CCBBAA" w:sz="4"/>
              <w:left w:val="none" w:color="FFFFFF" w:sz="0"/>
              <w:bottom w:val="none" w:color="FFFFFF" w:sz="0"/>
              <w:right w:val="none" w:color="FFFFFF" w:sz="0"/>
            </w:tcBorders>
          </w:tcPr>
          <w:p>
            <w:pPr>
              <w:spacing w:after="0" w:before="0"/>
            </w:pPr>
            <w:r>
              <w:t xml:space="preserve"/>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975A" w:sz="4"/>
              <w:left w:val="single" w:color="B8975A" w:sz="8"/>
              <w:bottom w:val="none" w:color="FFFFFF" w:sz="0"/>
              <w:right w:val="none" w:color="FFFFFF" w:sz="0"/>
            </w:tcBorders>
            <w:shd w:fill="F5F1EB" w:val="clear"/>
            <w:tcMar>
              <w:top w:type="dxa" w:w="120"/>
              <w:left w:type="dxa" w:w="200"/>
              <w:bottom w:type="dxa" w:w="80"/>
              <w:right w:type="dxa" w:w="120"/>
            </w:tcMar>
          </w:tcPr>
          <w:p>
            <w:pPr>
              <w:spacing w:after="40" w:before="0"/>
            </w:pPr>
            <w:r>
              <w:rPr>
                <w:rFonts w:ascii="Arial" w:cs="Arial" w:eastAsia="Arial" w:hAnsi="Arial"/>
                <w:b/>
                <w:bCs/>
                <w:color w:val="1C2F5E"/>
                <w:sz w:val="24"/>
                <w:szCs w:val="24"/>
              </w:rPr>
              <w:t xml:space="preserve">Robert Kegan (or research team)</w:t>
            </w:r>
          </w:p>
          <w:p>
            <w:pPr>
              <w:spacing w:after="0" w:before="0"/>
            </w:pPr>
            <w:r>
              <w:rPr>
                <w:rFonts w:ascii="Arial" w:cs="Arial" w:eastAsia="Arial" w:hAnsi="Arial"/>
                <w:i/>
                <w:iCs/>
                <w:color w:val="888888"/>
                <w:sz w:val="20"/>
                <w:szCs w:val="20"/>
              </w:rPr>
              <w:t xml:space="preserve">Constructive-Developmental Psychologist, Author of 'In Over Our Heads'  ·  Harvard Graduate School of Education (emeritus)</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WHY THIS PERSON  </w:t>
            </w:r>
            <w:r>
              <w:rPr>
                <w:rFonts w:ascii="Arial" w:cs="Arial" w:eastAsia="Arial" w:hAnsi="Arial"/>
                <w:color w:val="1A1A1A"/>
                <w:sz w:val="20"/>
                <w:szCs w:val="20"/>
              </w:rPr>
              <w:t xml:space="preserve">Kegan's Orders of Consciousness framework — particularly the Socialized, Self-Authoring, and Self-Transforming minds — maps almost precisely to HDM's middle and upper octaves. His 'subject-object' theory of development provides a rigorous epistemological foundation for what HDM observes operationally.</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ALIGNMENT WITH HDM  </w:t>
            </w:r>
            <w:r>
              <w:rPr>
                <w:rFonts w:ascii="Arial" w:cs="Arial" w:eastAsia="Arial" w:hAnsi="Arial"/>
                <w:color w:val="1A1A1A"/>
                <w:sz w:val="20"/>
                <w:szCs w:val="20"/>
              </w:rPr>
              <w:t xml:space="preserve">HDM's 'surface tension score' (the gap between purpose_coherence and trust_gradient) may be a measurable expression of Kegan's concept of 'holding environment stress' — the friction of being subject to a demand your current order of consciousness cannot yet handle as object.</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APPROACH  </w:t>
            </w:r>
            <w:r>
              <w:rPr>
                <w:rFonts w:ascii="Arial" w:cs="Arial" w:eastAsia="Arial" w:hAnsi="Arial"/>
                <w:color w:val="1A1A1A"/>
                <w:sz w:val="20"/>
                <w:szCs w:val="20"/>
              </w:rPr>
              <w:t xml:space="preserve">Frame the conversation around epistemological alignment rather than competition. HDM offers something Kegan's framework lacks: a practice-embedded, measurable, and culturally pluralistic expression of developmental movement. Kegan offers something HDM currently lacks: longitudinal validation and academic standing.</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OUTREACH  </w:t>
            </w:r>
            <w:r>
              <w:rPr>
                <w:rFonts w:ascii="Arial" w:cs="Arial" w:eastAsia="Arial" w:hAnsi="Arial"/>
                <w:color w:val="1A1A1A"/>
                <w:sz w:val="20"/>
                <w:szCs w:val="20"/>
              </w:rPr>
              <w:t xml:space="preserve">Kegan is emeritus; direct engagement may come through his former students (now active researchers). Lisa Laskow Lahey (co-author, 'Immunity to Change') is an accessible entry point. The Minds at Work consulting firm is the applied arm.</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NOTE  </w:t>
            </w:r>
            <w:r>
              <w:rPr>
                <w:rFonts w:ascii="Arial" w:cs="Arial" w:eastAsia="Arial" w:hAnsi="Arial"/>
                <w:color w:val="1A1A1A"/>
                <w:sz w:val="20"/>
                <w:szCs w:val="20"/>
              </w:rPr>
              <w:t xml:space="preserve">The 'Immunity to Change' workshop methodology is a potential HDM partnership target — aligning PING's team intelligence with their personal development process.</w:t>
            </w:r>
          </w:p>
        </w:tc>
      </w:tr>
      <w:tr>
        <w:tc>
          <w:tcPr>
            <w:tcW w:type="dxa" w:w="9360"/>
            <w:tcBorders>
              <w:top w:val="single" w:color="CCBBAA" w:sz="4"/>
              <w:left w:val="none" w:color="FFFFFF" w:sz="0"/>
              <w:bottom w:val="none" w:color="FFFFFF" w:sz="0"/>
              <w:right w:val="none" w:color="FFFFFF" w:sz="0"/>
            </w:tcBorders>
          </w:tcPr>
          <w:p>
            <w:pPr>
              <w:spacing w:after="0" w:before="0"/>
            </w:pPr>
            <w:r>
              <w:t xml:space="preserve"/>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975A" w:sz="4"/>
              <w:left w:val="single" w:color="B8975A" w:sz="8"/>
              <w:bottom w:val="none" w:color="FFFFFF" w:sz="0"/>
              <w:right w:val="none" w:color="FFFFFF" w:sz="0"/>
            </w:tcBorders>
            <w:shd w:fill="F5F1EB" w:val="clear"/>
            <w:tcMar>
              <w:top w:type="dxa" w:w="120"/>
              <w:left w:type="dxa" w:w="200"/>
              <w:bottom w:type="dxa" w:w="80"/>
              <w:right w:type="dxa" w:w="120"/>
            </w:tcMar>
          </w:tcPr>
          <w:p>
            <w:pPr>
              <w:spacing w:after="40" w:before="0"/>
            </w:pPr>
            <w:r>
              <w:rPr>
                <w:rFonts w:ascii="Arial" w:cs="Arial" w:eastAsia="Arial" w:hAnsi="Arial"/>
                <w:b/>
                <w:bCs/>
                <w:color w:val="1C2F5E"/>
                <w:sz w:val="24"/>
                <w:szCs w:val="24"/>
              </w:rPr>
              <w:t xml:space="preserve">UNESCO LINKS Programme</w:t>
            </w:r>
          </w:p>
          <w:p>
            <w:pPr>
              <w:spacing w:after="0" w:before="0"/>
            </w:pPr>
            <w:r>
              <w:rPr>
                <w:rFonts w:ascii="Arial" w:cs="Arial" w:eastAsia="Arial" w:hAnsi="Arial"/>
                <w:i/>
                <w:iCs/>
                <w:color w:val="888888"/>
                <w:sz w:val="20"/>
                <w:szCs w:val="20"/>
              </w:rPr>
              <w:t xml:space="preserve">Local and Indigenous Knowledge Systems initiative  ·  UNESCO Division of Science Policy and Capacity Building</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WHY THIS PERSON  </w:t>
            </w:r>
            <w:r>
              <w:rPr>
                <w:rFonts w:ascii="Arial" w:cs="Arial" w:eastAsia="Arial" w:hAnsi="Arial"/>
                <w:color w:val="1A1A1A"/>
                <w:sz w:val="20"/>
                <w:szCs w:val="20"/>
              </w:rPr>
              <w:t xml:space="preserve">UNESCO LINKS specifically works to document and revitalize indigenous knowledge systems — including mathematical, ecological, and developmental practices — as part of the global science-society interface. HDM's ethnomathematical lineage makes it directly legible in their framework.</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ALIGNMENT WITH HDM  </w:t>
            </w:r>
            <w:r>
              <w:rPr>
                <w:rFonts w:ascii="Arial" w:cs="Arial" w:eastAsia="Arial" w:hAnsi="Arial"/>
                <w:color w:val="1A1A1A"/>
                <w:sz w:val="20"/>
                <w:szCs w:val="20"/>
              </w:rPr>
              <w:t xml:space="preserve">LINKS produces policy briefs, knowledge assessments, and cultural heritage documents. The Seven Bridges paper is a submission-ready artifact for their knowledge documentation work. The Exploratorium is a demonstration of experiential revitalization.</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APPROACH  </w:t>
            </w:r>
            <w:r>
              <w:rPr>
                <w:rFonts w:ascii="Arial" w:cs="Arial" w:eastAsia="Arial" w:hAnsi="Arial"/>
                <w:color w:val="1A1A1A"/>
                <w:sz w:val="20"/>
                <w:szCs w:val="20"/>
              </w:rPr>
              <w:t xml:space="preserve">Position tÅs as an applied partner for knowledge revitalization — specifically developmental mathematics as intangible cultural heritage. Submit the bridge document as a case study in practitioner-led knowledge recovery.</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OUTREACH  </w:t>
            </w:r>
            <w:r>
              <w:rPr>
                <w:rFonts w:ascii="Arial" w:cs="Arial" w:eastAsia="Arial" w:hAnsi="Arial"/>
                <w:color w:val="1A1A1A"/>
                <w:sz w:val="20"/>
                <w:szCs w:val="20"/>
              </w:rPr>
              <w:t xml:space="preserve">UNESCO LINKS accepts submissions and proposals through their program officers. Their 'Biocultural Diversity and Indigenous Peoples' workstream is the most relevant entry. Contact via the UNESCO science division online portal.</w:t>
            </w:r>
          </w:p>
        </w:tc>
      </w:tr>
      <w:tr>
        <w:tc>
          <w:tcPr>
            <w:tcW w:type="dxa" w:w="9360"/>
            <w:tcBorders>
              <w:top w:val="single" w:color="CCBBAA" w:sz="4"/>
              <w:left w:val="none" w:color="FFFFFF" w:sz="0"/>
              <w:bottom w:val="none" w:color="FFFFFF" w:sz="0"/>
              <w:right w:val="none" w:color="FFFFFF" w:sz="0"/>
            </w:tcBorders>
          </w:tcPr>
          <w:p>
            <w:pPr>
              <w:spacing w:after="0" w:before="0"/>
            </w:pPr>
            <w:r>
              <w:t xml:space="preserve"/>
            </w:r>
          </w:p>
        </w:tc>
      </w:tr>
    </w:tbl>
    <w:p>
      <w:pPr>
        <w:spacing w:after="80" w:before="0"/>
      </w:pPr>
      <w:r>
        <w:t xml:space="preserve"/>
      </w:r>
    </w:p>
    <w:p>
      <w:r>
        <w:br w:type="page"/>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D501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TIER 2</w:t>
            </w:r>
          </w:p>
        </w:tc>
        <w:tc>
          <w:tcPr>
            <w:tcW w:type="dxa" w:w="7960"/>
            <w:tcBorders>
              <w:top w:val="none" w:color="FFFFFF" w:sz="0"/>
              <w:left w:val="none" w:color="FFFFFF" w:sz="0"/>
              <w:bottom w:val="none" w:color="FFFFFF" w:sz="0"/>
              <w:right w:val="none" w:color="FFFFFF" w:sz="0"/>
            </w:tcBorders>
            <w:shd w:fill="EDF0F4" w:val="clear"/>
            <w:tcMar>
              <w:top w:type="dxa" w:w="120"/>
              <w:left w:type="dxa" w:w="200"/>
              <w:bottom w:type="dxa" w:w="120"/>
              <w:right w:type="dxa" w:w="120"/>
            </w:tcMar>
            <w:vAlign w:val="center"/>
          </w:tcPr>
          <w:p>
            <w:r>
              <w:rPr>
                <w:rFonts w:ascii="Arial" w:cs="Arial" w:eastAsia="Arial" w:hAnsi="Arial"/>
                <w:b/>
                <w:bCs/>
                <w:color w:val="1C2F5E"/>
                <w:sz w:val="24"/>
                <w:szCs w:val="24"/>
              </w:rPr>
              <w:t xml:space="preserve">Institutional Partners — Research centers and universities where HDM's interdisciplinary nature is a strength, not a gap.</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975A" w:sz="4"/>
              <w:left w:val="single" w:color="B8975A" w:sz="8"/>
              <w:bottom w:val="none" w:color="FFFFFF" w:sz="0"/>
              <w:right w:val="none" w:color="FFFFFF" w:sz="0"/>
            </w:tcBorders>
            <w:shd w:fill="F5F1EB" w:val="clear"/>
            <w:tcMar>
              <w:top w:type="dxa" w:w="120"/>
              <w:left w:type="dxa" w:w="200"/>
              <w:bottom w:type="dxa" w:w="80"/>
              <w:right w:type="dxa" w:w="120"/>
            </w:tcMar>
          </w:tcPr>
          <w:p>
            <w:pPr>
              <w:spacing w:after="40" w:before="0"/>
            </w:pPr>
            <w:r>
              <w:rPr>
                <w:rFonts w:ascii="Arial" w:cs="Arial" w:eastAsia="Arial" w:hAnsi="Arial"/>
                <w:b/>
                <w:bCs/>
                <w:color w:val="1C2F5E"/>
                <w:sz w:val="24"/>
                <w:szCs w:val="24"/>
              </w:rPr>
              <w:t xml:space="preserve">MIT Sloan — Leadership Center</w:t>
            </w:r>
          </w:p>
          <w:p>
            <w:pPr>
              <w:spacing w:after="0" w:before="0"/>
            </w:pPr>
            <w:r>
              <w:rPr>
                <w:rFonts w:ascii="Arial" w:cs="Arial" w:eastAsia="Arial" w:hAnsi="Arial"/>
                <w:i/>
                <w:iCs/>
                <w:color w:val="888888"/>
                <w:sz w:val="20"/>
                <w:szCs w:val="20"/>
              </w:rPr>
              <w:t xml:space="preserve">Organizational Learning and Systems Thinking  ·  Massachusetts Institute of Technology</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WHY THIS PERSON  </w:t>
            </w:r>
            <w:r>
              <w:rPr>
                <w:rFonts w:ascii="Arial" w:cs="Arial" w:eastAsia="Arial" w:hAnsi="Arial"/>
                <w:color w:val="1A1A1A"/>
                <w:sz w:val="20"/>
                <w:szCs w:val="20"/>
              </w:rPr>
              <w:t xml:space="preserve">MIT Sloan's organizational learning tradition (Senge, Schein) focuses on the systemic conditions that enable or suppress development in teams and organizations. PING speaks directly to this — communication pattern analysis as organizational intelligence.</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ALIGNMENT WITH HDM  </w:t>
            </w:r>
            <w:r>
              <w:rPr>
                <w:rFonts w:ascii="Arial" w:cs="Arial" w:eastAsia="Arial" w:hAnsi="Arial"/>
                <w:color w:val="1A1A1A"/>
                <w:sz w:val="20"/>
                <w:szCs w:val="20"/>
              </w:rPr>
              <w:t xml:space="preserve">Senge's 'Five Disciplines' and Schein's 'Organizational Culture' are operational cousins to the HDM framework applied at team scale. PING's initiation ratio, reciprocity score, and silence detection are organizational learning indicators expressed as metadata.</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APPROACH  </w:t>
            </w:r>
            <w:r>
              <w:rPr>
                <w:rFonts w:ascii="Arial" w:cs="Arial" w:eastAsia="Arial" w:hAnsi="Arial"/>
                <w:color w:val="1A1A1A"/>
                <w:sz w:val="20"/>
                <w:szCs w:val="20"/>
              </w:rPr>
              <w:t xml:space="preserve">Propose PING as a research tool for studying team learning in real-time organizational environments. A joint research study comparing PING data to standard organizational health metrics (eNPS, 360 feedback scores) would produce publishable results and commercial validation simultaneously.</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OUTREACH  </w:t>
            </w:r>
            <w:r>
              <w:rPr>
                <w:rFonts w:ascii="Arial" w:cs="Arial" w:eastAsia="Arial" w:hAnsi="Arial"/>
                <w:color w:val="1A1A1A"/>
                <w:sz w:val="20"/>
                <w:szCs w:val="20"/>
              </w:rPr>
              <w:t xml:space="preserve">MIT Sloan's Faculty Research Innovation Fellowships and the Center for Information Systems Research (CISR) are relevant entry points. The Leadership Center hosts an annual conference accessible for practitioners.</w:t>
            </w:r>
          </w:p>
        </w:tc>
      </w:tr>
      <w:tr>
        <w:tc>
          <w:tcPr>
            <w:tcW w:type="dxa" w:w="9360"/>
            <w:tcBorders>
              <w:top w:val="single" w:color="CCBBAA" w:sz="4"/>
              <w:left w:val="none" w:color="FFFFFF" w:sz="0"/>
              <w:bottom w:val="none" w:color="FFFFFF" w:sz="0"/>
              <w:right w:val="none" w:color="FFFFFF" w:sz="0"/>
            </w:tcBorders>
          </w:tcPr>
          <w:p>
            <w:pPr>
              <w:spacing w:after="0" w:before="0"/>
            </w:pPr>
            <w:r>
              <w:t xml:space="preserve"/>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975A" w:sz="4"/>
              <w:left w:val="single" w:color="B8975A" w:sz="8"/>
              <w:bottom w:val="none" w:color="FFFFFF" w:sz="0"/>
              <w:right w:val="none" w:color="FFFFFF" w:sz="0"/>
            </w:tcBorders>
            <w:shd w:fill="F5F1EB" w:val="clear"/>
            <w:tcMar>
              <w:top w:type="dxa" w:w="120"/>
              <w:left w:type="dxa" w:w="200"/>
              <w:bottom w:type="dxa" w:w="80"/>
              <w:right w:type="dxa" w:w="120"/>
            </w:tcMar>
          </w:tcPr>
          <w:p>
            <w:pPr>
              <w:spacing w:after="40" w:before="0"/>
            </w:pPr>
            <w:r>
              <w:rPr>
                <w:rFonts w:ascii="Arial" w:cs="Arial" w:eastAsia="Arial" w:hAnsi="Arial"/>
                <w:b/>
                <w:bCs/>
                <w:color w:val="1C2F5E"/>
                <w:sz w:val="24"/>
                <w:szCs w:val="24"/>
              </w:rPr>
              <w:t xml:space="preserve">Makerere University — Institute of Social Research</w:t>
            </w:r>
          </w:p>
          <w:p>
            <w:pPr>
              <w:spacing w:after="0" w:before="0"/>
            </w:pPr>
            <w:r>
              <w:rPr>
                <w:rFonts w:ascii="Arial" w:cs="Arial" w:eastAsia="Arial" w:hAnsi="Arial"/>
                <w:i/>
                <w:iCs/>
                <w:color w:val="888888"/>
                <w:sz w:val="20"/>
                <w:szCs w:val="20"/>
              </w:rPr>
              <w:t xml:space="preserve">Ubuntu Philosophy and African Development Studies  ·  Kampala, Uganda</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WHY THIS PERSON  </w:t>
            </w:r>
            <w:r>
              <w:rPr>
                <w:rFonts w:ascii="Arial" w:cs="Arial" w:eastAsia="Arial" w:hAnsi="Arial"/>
                <w:color w:val="1A1A1A"/>
                <w:sz w:val="20"/>
                <w:szCs w:val="20"/>
              </w:rPr>
              <w:t xml:space="preserve">Makerere is East Africa's oldest and most influential university, with active scholarship on Ubuntu philosophy as a developmental and relational ontology. Ubuntu's 'I am because we are' is the philosophical foundation of HDM's Octave 3 (Relational Coherence).</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ALIGNMENT WITH HDM  </w:t>
            </w:r>
            <w:r>
              <w:rPr>
                <w:rFonts w:ascii="Arial" w:cs="Arial" w:eastAsia="Arial" w:hAnsi="Arial"/>
                <w:color w:val="1A1A1A"/>
                <w:sz w:val="20"/>
                <w:szCs w:val="20"/>
              </w:rPr>
              <w:t xml:space="preserve">Ubuntu scholarship at Makerere addresses questions HDM's framework poses operationally: What does relational coherence look like across cultural contexts? How does interdependence function as a developmental stage, not just a value? What can African developmental philosophy offer that Western stage theory cannot?</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APPROACH  </w:t>
            </w:r>
            <w:r>
              <w:rPr>
                <w:rFonts w:ascii="Arial" w:cs="Arial" w:eastAsia="Arial" w:hAnsi="Arial"/>
                <w:color w:val="1A1A1A"/>
                <w:sz w:val="20"/>
                <w:szCs w:val="20"/>
              </w:rPr>
              <w:t xml:space="preserve">Propose a collaborative publication: 'Ubuntu as Developmental Mathematics — Relational Coherence in African Philosophical Tradition and HDM Octave 3.' A co-authored paper with a Makerere researcher would simultaneously establish HDM's African philosophical lineage and provide academic credibility.</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OUTREACH  </w:t>
            </w:r>
            <w:r>
              <w:rPr>
                <w:rFonts w:ascii="Arial" w:cs="Arial" w:eastAsia="Arial" w:hAnsi="Arial"/>
                <w:color w:val="1A1A1A"/>
                <w:sz w:val="20"/>
                <w:szCs w:val="20"/>
              </w:rPr>
              <w:t xml:space="preserve">The Institute of Social Research publishes the Makerere Journal of Higher Education. Conference outreach via the Council for the Development of Social Science Research in Africa (CODESRIA) is the most accessible academic channel.</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NOTE  </w:t>
            </w:r>
            <w:r>
              <w:rPr>
                <w:rFonts w:ascii="Arial" w:cs="Arial" w:eastAsia="Arial" w:hAnsi="Arial"/>
                <w:color w:val="1A1A1A"/>
                <w:sz w:val="20"/>
                <w:szCs w:val="20"/>
              </w:rPr>
              <w:t xml:space="preserve">The Pedagogical University of Maputo (Mozambique) carries Gerdes' legacy directly — a joint Makerere-Maputo-tÅs collaboration would represent a powerful African intellectual coalition around HDM.</w:t>
            </w:r>
          </w:p>
        </w:tc>
      </w:tr>
      <w:tr>
        <w:tc>
          <w:tcPr>
            <w:tcW w:type="dxa" w:w="9360"/>
            <w:tcBorders>
              <w:top w:val="single" w:color="CCBBAA" w:sz="4"/>
              <w:left w:val="none" w:color="FFFFFF" w:sz="0"/>
              <w:bottom w:val="none" w:color="FFFFFF" w:sz="0"/>
              <w:right w:val="none" w:color="FFFFFF" w:sz="0"/>
            </w:tcBorders>
          </w:tcPr>
          <w:p>
            <w:pPr>
              <w:spacing w:after="0" w:before="0"/>
            </w:pPr>
            <w:r>
              <w:t xml:space="preserve"/>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975A" w:sz="4"/>
              <w:left w:val="single" w:color="B8975A" w:sz="8"/>
              <w:bottom w:val="none" w:color="FFFFFF" w:sz="0"/>
              <w:right w:val="none" w:color="FFFFFF" w:sz="0"/>
            </w:tcBorders>
            <w:shd w:fill="F5F1EB" w:val="clear"/>
            <w:tcMar>
              <w:top w:type="dxa" w:w="120"/>
              <w:left w:type="dxa" w:w="200"/>
              <w:bottom w:type="dxa" w:w="80"/>
              <w:right w:type="dxa" w:w="120"/>
            </w:tcMar>
          </w:tcPr>
          <w:p>
            <w:pPr>
              <w:spacing w:after="40" w:before="0"/>
            </w:pPr>
            <w:r>
              <w:rPr>
                <w:rFonts w:ascii="Arial" w:cs="Arial" w:eastAsia="Arial" w:hAnsi="Arial"/>
                <w:b/>
                <w:bCs/>
                <w:color w:val="1C2F5E"/>
                <w:sz w:val="24"/>
                <w:szCs w:val="24"/>
              </w:rPr>
              <w:t xml:space="preserve">Naropa University</w:t>
            </w:r>
          </w:p>
          <w:p>
            <w:pPr>
              <w:spacing w:after="0" w:before="0"/>
            </w:pPr>
            <w:r>
              <w:rPr>
                <w:rFonts w:ascii="Arial" w:cs="Arial" w:eastAsia="Arial" w:hAnsi="Arial"/>
                <w:i/>
                <w:iCs/>
                <w:color w:val="888888"/>
                <w:sz w:val="20"/>
                <w:szCs w:val="20"/>
              </w:rPr>
              <w:t xml:space="preserve">Contemplative Education and Somatic Learning  ·  Boulder, Colorado</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WHY THIS PERSON  </w:t>
            </w:r>
            <w:r>
              <w:rPr>
                <w:rFonts w:ascii="Arial" w:cs="Arial" w:eastAsia="Arial" w:hAnsi="Arial"/>
                <w:color w:val="1A1A1A"/>
                <w:sz w:val="20"/>
                <w:szCs w:val="20"/>
              </w:rPr>
              <w:t xml:space="preserve">Naropa was founded on the principle that wisdom traditions and rigorous inquiry are not in conflict — that contemplative practice is a legitimate epistemology. HDM's Conscious Pause, Splenic Authority, and the body-as-instrument approach to development is Naropa's intellectual home.</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ALIGNMENT WITH HDM  </w:t>
            </w:r>
            <w:r>
              <w:rPr>
                <w:rFonts w:ascii="Arial" w:cs="Arial" w:eastAsia="Arial" w:hAnsi="Arial"/>
                <w:color w:val="1A1A1A"/>
                <w:sz w:val="20"/>
                <w:szCs w:val="20"/>
              </w:rPr>
              <w:t xml:space="preserve">Naropa's contemplative education framework maps directly onto HDM's Octave 1 (Stillness / Conscious Pause) and the mind-body-spirit triadic model that runs through all seven octaves. The somatic learning tradition (embodied cognition) provides academic grounding for HDM's body-as-developmental-instrument claim.</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APPROACH  </w:t>
            </w:r>
            <w:r>
              <w:rPr>
                <w:rFonts w:ascii="Arial" w:cs="Arial" w:eastAsia="Arial" w:hAnsi="Arial"/>
                <w:color w:val="1A1A1A"/>
                <w:sz w:val="20"/>
                <w:szCs w:val="20"/>
              </w:rPr>
              <w:t xml:space="preserve">Approach Naropa's MFA and Psychology programs about the Exploratorium as a contemplative learning tool. The diagnostic feature and the PING constellation mechanism align with Naropa's interest in awareness-based practices as developmental technology.</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OUTREACH  </w:t>
            </w:r>
            <w:r>
              <w:rPr>
                <w:rFonts w:ascii="Arial" w:cs="Arial" w:eastAsia="Arial" w:hAnsi="Arial"/>
                <w:color w:val="1A1A1A"/>
                <w:sz w:val="20"/>
                <w:szCs w:val="20"/>
              </w:rPr>
              <w:t xml:space="preserve">Naropa's Community Engagement and Partnership office receives proposals from organizations with aligned values. The Jack Kerouac School of Disembodied Poetics (yes, it exists) would appreciate the tÅs voice and approach.</w:t>
            </w:r>
          </w:p>
        </w:tc>
      </w:tr>
      <w:tr>
        <w:tc>
          <w:tcPr>
            <w:tcW w:type="dxa" w:w="9360"/>
            <w:tcBorders>
              <w:top w:val="single" w:color="CCBBAA" w:sz="4"/>
              <w:left w:val="none" w:color="FFFFFF" w:sz="0"/>
              <w:bottom w:val="none" w:color="FFFFFF" w:sz="0"/>
              <w:right w:val="none" w:color="FFFFFF" w:sz="0"/>
            </w:tcBorders>
          </w:tcPr>
          <w:p>
            <w:pPr>
              <w:spacing w:after="0" w:before="0"/>
            </w:pPr>
            <w:r>
              <w:t xml:space="preserve"/>
            </w:r>
          </w:p>
        </w:tc>
      </w:tr>
    </w:tbl>
    <w:p>
      <w:pPr>
        <w:spacing w:after="80" w:before="0"/>
      </w:pPr>
      <w:r>
        <w:t xml:space="preserve"/>
      </w:r>
    </w:p>
    <w:p>
      <w:r>
        <w:br w:type="page"/>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B8975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TIER 3</w:t>
            </w:r>
          </w:p>
        </w:tc>
        <w:tc>
          <w:tcPr>
            <w:tcW w:type="dxa" w:w="7960"/>
            <w:tcBorders>
              <w:top w:val="none" w:color="FFFFFF" w:sz="0"/>
              <w:left w:val="none" w:color="FFFFFF" w:sz="0"/>
              <w:bottom w:val="none" w:color="FFFFFF" w:sz="0"/>
              <w:right w:val="none" w:color="FFFFFF" w:sz="0"/>
            </w:tcBorders>
            <w:shd w:fill="EDF0F4" w:val="clear"/>
            <w:tcMar>
              <w:top w:type="dxa" w:w="120"/>
              <w:left w:type="dxa" w:w="200"/>
              <w:bottom w:type="dxa" w:w="120"/>
              <w:right w:type="dxa" w:w="120"/>
            </w:tcMar>
            <w:vAlign w:val="center"/>
          </w:tcPr>
          <w:p>
            <w:r>
              <w:rPr>
                <w:rFonts w:ascii="Arial" w:cs="Arial" w:eastAsia="Arial" w:hAnsi="Arial"/>
                <w:b/>
                <w:bCs/>
                <w:color w:val="1C2F5E"/>
                <w:sz w:val="24"/>
                <w:szCs w:val="24"/>
              </w:rPr>
              <w:t xml:space="preserve">Applied Research Partners — Where HDM's tools meet organizational and professional development practice.</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975A" w:sz="4"/>
              <w:left w:val="single" w:color="B8975A" w:sz="8"/>
              <w:bottom w:val="none" w:color="FFFFFF" w:sz="0"/>
              <w:right w:val="none" w:color="FFFFFF" w:sz="0"/>
            </w:tcBorders>
            <w:shd w:fill="F5F1EB" w:val="clear"/>
            <w:tcMar>
              <w:top w:type="dxa" w:w="120"/>
              <w:left w:type="dxa" w:w="200"/>
              <w:bottom w:type="dxa" w:w="80"/>
              <w:right w:type="dxa" w:w="120"/>
            </w:tcMar>
          </w:tcPr>
          <w:p>
            <w:pPr>
              <w:spacing w:after="40" w:before="0"/>
            </w:pPr>
            <w:r>
              <w:rPr>
                <w:rFonts w:ascii="Arial" w:cs="Arial" w:eastAsia="Arial" w:hAnsi="Arial"/>
                <w:b/>
                <w:bCs/>
                <w:color w:val="1C2F5E"/>
                <w:sz w:val="24"/>
                <w:szCs w:val="24"/>
              </w:rPr>
              <w:t xml:space="preserve">Vertical Development Academy (VDA)</w:t>
            </w:r>
          </w:p>
          <w:p>
            <w:pPr>
              <w:spacing w:after="0" w:before="0"/>
            </w:pPr>
            <w:r>
              <w:rPr>
                <w:rFonts w:ascii="Arial" w:cs="Arial" w:eastAsia="Arial" w:hAnsi="Arial"/>
                <w:i/>
                <w:iCs/>
                <w:color w:val="888888"/>
                <w:sz w:val="20"/>
                <w:szCs w:val="20"/>
              </w:rPr>
              <w:t xml:space="preserve">Practitioner Network for Vertical Development  ·  Global practitioner community (Europe / US)</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WHY THIS PERSON  </w:t>
            </w:r>
            <w:r>
              <w:rPr>
                <w:rFonts w:ascii="Arial" w:cs="Arial" w:eastAsia="Arial" w:hAnsi="Arial"/>
                <w:color w:val="1A1A1A"/>
                <w:sz w:val="20"/>
                <w:szCs w:val="20"/>
              </w:rPr>
              <w:t xml:space="preserve">VDA is the practitioner-facing network that carries Cook-Greuter, Kegan, and vertical development into organizational practice. Members are coaches, OD consultants, and learning designers actively seeking tools that operationalize developmental theory.</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ALIGNMENT WITH HDM  </w:t>
            </w:r>
            <w:r>
              <w:rPr>
                <w:rFonts w:ascii="Arial" w:cs="Arial" w:eastAsia="Arial" w:hAnsi="Arial"/>
                <w:color w:val="1A1A1A"/>
                <w:sz w:val="20"/>
                <w:szCs w:val="20"/>
              </w:rPr>
              <w:t xml:space="preserve">PING is the missing measurement layer for vertical development practice. Where VDA practitioners currently rely on qualitative coaching assessments, PING offers communication metadata as a leading indicator of developmental position.</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APPROACH  </w:t>
            </w:r>
            <w:r>
              <w:rPr>
                <w:rFonts w:ascii="Arial" w:cs="Arial" w:eastAsia="Arial" w:hAnsi="Arial"/>
                <w:color w:val="1A1A1A"/>
                <w:sz w:val="20"/>
                <w:szCs w:val="20"/>
              </w:rPr>
              <w:t xml:space="preserve">Submit a case study proposal to VDA's annual gathering: 'PING as a Vertical Development Indicator — Measuring Relational Maturity Through Communication Patterns.' Request a demonstration slot or workshop track.</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OUTREACH  </w:t>
            </w:r>
            <w:r>
              <w:rPr>
                <w:rFonts w:ascii="Arial" w:cs="Arial" w:eastAsia="Arial" w:hAnsi="Arial"/>
                <w:color w:val="1A1A1A"/>
                <w:sz w:val="20"/>
                <w:szCs w:val="20"/>
              </w:rPr>
              <w:t xml:space="preserve">VDA maintains an active LinkedIn community and an annual conference. Nick Petrie (formerly CCL, author of 'Future Trends in Leadership Development') is a VDA-adjacent thought leader with significant practitioner reach.</w:t>
            </w:r>
          </w:p>
        </w:tc>
      </w:tr>
      <w:tr>
        <w:tc>
          <w:tcPr>
            <w:tcW w:type="dxa" w:w="9360"/>
            <w:tcBorders>
              <w:top w:val="single" w:color="CCBBAA" w:sz="4"/>
              <w:left w:val="none" w:color="FFFFFF" w:sz="0"/>
              <w:bottom w:val="none" w:color="FFFFFF" w:sz="0"/>
              <w:right w:val="none" w:color="FFFFFF" w:sz="0"/>
            </w:tcBorders>
          </w:tcPr>
          <w:p>
            <w:pPr>
              <w:spacing w:after="0" w:before="0"/>
            </w:pPr>
            <w:r>
              <w:t xml:space="preserve"/>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975A" w:sz="4"/>
              <w:left w:val="single" w:color="B8975A" w:sz="8"/>
              <w:bottom w:val="none" w:color="FFFFFF" w:sz="0"/>
              <w:right w:val="none" w:color="FFFFFF" w:sz="0"/>
            </w:tcBorders>
            <w:shd w:fill="F5F1EB" w:val="clear"/>
            <w:tcMar>
              <w:top w:type="dxa" w:w="120"/>
              <w:left w:type="dxa" w:w="200"/>
              <w:bottom w:type="dxa" w:w="80"/>
              <w:right w:type="dxa" w:w="120"/>
            </w:tcMar>
          </w:tcPr>
          <w:p>
            <w:pPr>
              <w:spacing w:after="40" w:before="0"/>
            </w:pPr>
            <w:r>
              <w:rPr>
                <w:rFonts w:ascii="Arial" w:cs="Arial" w:eastAsia="Arial" w:hAnsi="Arial"/>
                <w:b/>
                <w:bCs/>
                <w:color w:val="1C2F5E"/>
                <w:sz w:val="24"/>
                <w:szCs w:val="24"/>
              </w:rPr>
              <w:t xml:space="preserve">Center for Creative Leadership (CCL)</w:t>
            </w:r>
          </w:p>
          <w:p>
            <w:pPr>
              <w:spacing w:after="0" w:before="0"/>
            </w:pPr>
            <w:r>
              <w:rPr>
                <w:rFonts w:ascii="Arial" w:cs="Arial" w:eastAsia="Arial" w:hAnsi="Arial"/>
                <w:i/>
                <w:iCs/>
                <w:color w:val="888888"/>
                <w:sz w:val="20"/>
                <w:szCs w:val="20"/>
              </w:rPr>
              <w:t xml:space="preserve">Leadership Research and Development  ·  Greensboro, NC / Global</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WHY THIS PERSON  </w:t>
            </w:r>
            <w:r>
              <w:rPr>
                <w:rFonts w:ascii="Arial" w:cs="Arial" w:eastAsia="Arial" w:hAnsi="Arial"/>
                <w:color w:val="1A1A1A"/>
                <w:sz w:val="20"/>
                <w:szCs w:val="20"/>
              </w:rPr>
              <w:t xml:space="preserve">CCL is the premier nonprofit research institution for leadership development. Their 70-20-10 model (experience-relationship-education) directly maps to HDM's developmental arc. Their organizational reach means a CCL endorsement or co-research study would validate HDM across enterprise buyers.</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ALIGNMENT WITH HDM  </w:t>
            </w:r>
            <w:r>
              <w:rPr>
                <w:rFonts w:ascii="Arial" w:cs="Arial" w:eastAsia="Arial" w:hAnsi="Arial"/>
                <w:color w:val="1A1A1A"/>
                <w:sz w:val="20"/>
                <w:szCs w:val="20"/>
              </w:rPr>
              <w:t xml:space="preserve">CCL's assessments (Benchmarks, 360) measure leadership competencies. PING measures relational and developmental patterns. The two instruments are complementary — CCL measures the what, PING measures the how of leadership behavior.</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APPROACH  </w:t>
            </w:r>
            <w:r>
              <w:rPr>
                <w:rFonts w:ascii="Arial" w:cs="Arial" w:eastAsia="Arial" w:hAnsi="Arial"/>
                <w:color w:val="1A1A1A"/>
                <w:sz w:val="20"/>
                <w:szCs w:val="20"/>
              </w:rPr>
              <w:t xml:space="preserve">Propose an instrument validation study: 'Correlating PING Communication Metadata with CCL Benchmark Scores.' A published joint study would be the most efficient path to enterprise market credibility for PING.</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OUTREACH  </w:t>
            </w:r>
            <w:r>
              <w:rPr>
                <w:rFonts w:ascii="Arial" w:cs="Arial" w:eastAsia="Arial" w:hAnsi="Arial"/>
                <w:color w:val="1A1A1A"/>
                <w:sz w:val="20"/>
                <w:szCs w:val="20"/>
              </w:rPr>
              <w:t xml:space="preserve">CCL's Research, Innovation &amp; Product Development team accepts external research collaboration proposals. Initial contact through their research publications and conference (Advancing the Science of Leadership) is appropriate.</w:t>
            </w:r>
          </w:p>
        </w:tc>
      </w:tr>
      <w:tr>
        <w:tc>
          <w:tcPr>
            <w:tcW w:type="dxa" w:w="9360"/>
            <w:tcBorders>
              <w:top w:val="single" w:color="CCBBAA" w:sz="4"/>
              <w:left w:val="none" w:color="FFFFFF" w:sz="0"/>
              <w:bottom w:val="none" w:color="FFFFFF" w:sz="0"/>
              <w:right w:val="none" w:color="FFFFFF" w:sz="0"/>
            </w:tcBorders>
          </w:tcPr>
          <w:p>
            <w:pPr>
              <w:spacing w:after="0" w:before="0"/>
            </w:pPr>
            <w:r>
              <w:t xml:space="preserve"/>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975A" w:sz="4"/>
              <w:left w:val="single" w:color="B8975A" w:sz="8"/>
              <w:bottom w:val="none" w:color="FFFFFF" w:sz="0"/>
              <w:right w:val="none" w:color="FFFFFF" w:sz="0"/>
            </w:tcBorders>
            <w:shd w:fill="F5F1EB" w:val="clear"/>
            <w:tcMar>
              <w:top w:type="dxa" w:w="120"/>
              <w:left w:type="dxa" w:w="200"/>
              <w:bottom w:type="dxa" w:w="80"/>
              <w:right w:type="dxa" w:w="120"/>
            </w:tcMar>
          </w:tcPr>
          <w:p>
            <w:pPr>
              <w:spacing w:after="40" w:before="0"/>
            </w:pPr>
            <w:r>
              <w:rPr>
                <w:rFonts w:ascii="Arial" w:cs="Arial" w:eastAsia="Arial" w:hAnsi="Arial"/>
                <w:b/>
                <w:bCs/>
                <w:color w:val="1C2F5E"/>
                <w:sz w:val="24"/>
                <w:szCs w:val="24"/>
              </w:rPr>
              <w:t xml:space="preserve">Institute of Coaching (IOC)</w:t>
            </w:r>
          </w:p>
          <w:p>
            <w:pPr>
              <w:spacing w:after="0" w:before="0"/>
            </w:pPr>
            <w:r>
              <w:rPr>
                <w:rFonts w:ascii="Arial" w:cs="Arial" w:eastAsia="Arial" w:hAnsi="Arial"/>
                <w:i/>
                <w:iCs/>
                <w:color w:val="888888"/>
                <w:sz w:val="20"/>
                <w:szCs w:val="20"/>
              </w:rPr>
              <w:t xml:space="preserve">Professional Coaching Research  ·  McLean Hospital / Harvard Medical School affiliate</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WHY THIS PERSON  </w:t>
            </w:r>
            <w:r>
              <w:rPr>
                <w:rFonts w:ascii="Arial" w:cs="Arial" w:eastAsia="Arial" w:hAnsi="Arial"/>
                <w:color w:val="1A1A1A"/>
                <w:sz w:val="20"/>
                <w:szCs w:val="20"/>
              </w:rPr>
              <w:t xml:space="preserve">IOC is the Harvard-affiliated coaching research institution that bridges scientific rigor and coaching practice. Their annual conference (ICF Converge adjacent) brings together coaches who need validated tools for assessing and tracking client development.</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ALIGNMENT WITH HDM  </w:t>
            </w:r>
            <w:r>
              <w:rPr>
                <w:rFonts w:ascii="Arial" w:cs="Arial" w:eastAsia="Arial" w:hAnsi="Arial"/>
                <w:color w:val="1A1A1A"/>
                <w:sz w:val="20"/>
                <w:szCs w:val="20"/>
              </w:rPr>
              <w:t xml:space="preserve">The HDM Development State Profile (DSP) is a coaching tool. The seven octave assessment provides coaches with a structured language for what they observe intuitively in clients. IOC's research infrastructure could validate the DSP as a clinically reliable assessment.</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APPROACH  </w:t>
            </w:r>
            <w:r>
              <w:rPr>
                <w:rFonts w:ascii="Arial" w:cs="Arial" w:eastAsia="Arial" w:hAnsi="Arial"/>
                <w:color w:val="1A1A1A"/>
                <w:sz w:val="20"/>
                <w:szCs w:val="20"/>
              </w:rPr>
              <w:t xml:space="preserve">Propose a validation study for the HDM DSP as a coaching assessment instrument. Frame it as a convergent validity study: does HDM's DSP correlate with established measures of psychological wellbeing (PERMA), goal attainment, and coaching outcome?</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OUTREACH  </w:t>
            </w:r>
            <w:r>
              <w:rPr>
                <w:rFonts w:ascii="Arial" w:cs="Arial" w:eastAsia="Arial" w:hAnsi="Arial"/>
                <w:color w:val="1A1A1A"/>
                <w:sz w:val="20"/>
                <w:szCs w:val="20"/>
              </w:rPr>
              <w:t xml:space="preserve">IOC's annual grant cycle funds practitioner-researcher collaborative projects. Application deadline is typically autumn. Their publication (Coaching: An International Journal of Theory, Research and Practice) is a target venue.</w:t>
            </w:r>
          </w:p>
        </w:tc>
      </w:tr>
      <w:tr>
        <w:tc>
          <w:tcPr>
            <w:tcW w:type="dxa" w:w="9360"/>
            <w:tcBorders>
              <w:top w:val="single" w:color="CCBBAA" w:sz="4"/>
              <w:left w:val="none" w:color="FFFFFF" w:sz="0"/>
              <w:bottom w:val="none" w:color="FFFFFF" w:sz="0"/>
              <w:right w:val="none" w:color="FFFFFF" w:sz="0"/>
            </w:tcBorders>
          </w:tcPr>
          <w:p>
            <w:pPr>
              <w:spacing w:after="0" w:before="0"/>
            </w:pPr>
            <w:r>
              <w:t xml:space="preserve"/>
            </w:r>
          </w:p>
        </w:tc>
      </w:tr>
    </w:tbl>
    <w:p>
      <w:pPr>
        <w:spacing w:after="80" w:before="0"/>
      </w:pPr>
      <w:r>
        <w:t xml:space="preserve"/>
      </w:r>
    </w:p>
    <w:p>
      <w:r>
        <w:br w:type="page"/>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8888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TIER 4</w:t>
            </w:r>
          </w:p>
        </w:tc>
        <w:tc>
          <w:tcPr>
            <w:tcW w:type="dxa" w:w="7960"/>
            <w:tcBorders>
              <w:top w:val="none" w:color="FFFFFF" w:sz="0"/>
              <w:left w:val="none" w:color="FFFFFF" w:sz="0"/>
              <w:bottom w:val="none" w:color="FFFFFF" w:sz="0"/>
              <w:right w:val="none" w:color="FFFFFF" w:sz="0"/>
            </w:tcBorders>
            <w:shd w:fill="EDF0F4" w:val="clear"/>
            <w:tcMar>
              <w:top w:type="dxa" w:w="120"/>
              <w:left w:type="dxa" w:w="200"/>
              <w:bottom w:type="dxa" w:w="120"/>
              <w:right w:type="dxa" w:w="120"/>
            </w:tcMar>
            <w:vAlign w:val="center"/>
          </w:tcPr>
          <w:p>
            <w:r>
              <w:rPr>
                <w:rFonts w:ascii="Arial" w:cs="Arial" w:eastAsia="Arial" w:hAnsi="Arial"/>
                <w:b/>
                <w:bCs/>
                <w:color w:val="1C2F5E"/>
                <w:sz w:val="24"/>
                <w:szCs w:val="24"/>
              </w:rPr>
              <w:t xml:space="preserve">Ecosystem Adjacencies — Strategic relationships that expand HDM's cultural and commercial surface area.</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975A" w:sz="4"/>
              <w:left w:val="single" w:color="B8975A" w:sz="8"/>
              <w:bottom w:val="none" w:color="FFFFFF" w:sz="0"/>
              <w:right w:val="none" w:color="FFFFFF" w:sz="0"/>
            </w:tcBorders>
            <w:shd w:fill="F5F1EB" w:val="clear"/>
            <w:tcMar>
              <w:top w:type="dxa" w:w="120"/>
              <w:left w:type="dxa" w:w="200"/>
              <w:bottom w:type="dxa" w:w="80"/>
              <w:right w:type="dxa" w:w="120"/>
            </w:tcMar>
          </w:tcPr>
          <w:p>
            <w:pPr>
              <w:spacing w:after="40" w:before="0"/>
            </w:pPr>
            <w:r>
              <w:rPr>
                <w:rFonts w:ascii="Arial" w:cs="Arial" w:eastAsia="Arial" w:hAnsi="Arial"/>
                <w:b/>
                <w:bCs/>
                <w:color w:val="1C2F5E"/>
                <w:sz w:val="24"/>
                <w:szCs w:val="24"/>
              </w:rPr>
              <w:t xml:space="preserve">Frederic Laloux / Reinventing Organizations</w:t>
            </w:r>
          </w:p>
          <w:p>
            <w:pPr>
              <w:spacing w:after="0" w:before="0"/>
            </w:pPr>
            <w:r>
              <w:rPr>
                <w:rFonts w:ascii="Arial" w:cs="Arial" w:eastAsia="Arial" w:hAnsi="Arial"/>
                <w:i/>
                <w:iCs/>
                <w:color w:val="888888"/>
                <w:sz w:val="20"/>
                <w:szCs w:val="20"/>
              </w:rPr>
              <w:t xml:space="preserve">Author, Organizational Theorist  ·  Independent (global community)</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WHY THIS PERSON  </w:t>
            </w:r>
            <w:r>
              <w:rPr>
                <w:rFonts w:ascii="Arial" w:cs="Arial" w:eastAsia="Arial" w:hAnsi="Arial"/>
                <w:color w:val="1A1A1A"/>
                <w:sz w:val="20"/>
                <w:szCs w:val="20"/>
              </w:rPr>
              <w:t xml:space="preserve">Laloux's Teal organization model describes organizations at the highest developmental stage as purposeful, self-managing, and wholeness-centered. This is HDM's Octave 7 (Emergent Coherence) expressed at organizational scale. His community of 200,000+ practitioners is a pre-built audience for HDM.</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ALIGNMENT WITH HDM  </w:t>
            </w:r>
            <w:r>
              <w:rPr>
                <w:rFonts w:ascii="Arial" w:cs="Arial" w:eastAsia="Arial" w:hAnsi="Arial"/>
                <w:color w:val="1A1A1A"/>
                <w:sz w:val="20"/>
                <w:szCs w:val="20"/>
              </w:rPr>
              <w:t xml:space="preserve">The Reinventing Organizations Wiki and practitioner community actively seeks tools for assessing and supporting developmental movement. PING's team resonance data is directly actionable in Teal organizational environments.</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APPROACH  </w:t>
            </w:r>
            <w:r>
              <w:rPr>
                <w:rFonts w:ascii="Arial" w:cs="Arial" w:eastAsia="Arial" w:hAnsi="Arial"/>
                <w:color w:val="1A1A1A"/>
                <w:sz w:val="20"/>
                <w:szCs w:val="20"/>
              </w:rPr>
              <w:t xml:space="preserve">Write a guest post or case study for the RO community: 'PING as a Teal Intelligence Tool — What Communication Metadata Reveals About Organizational Development.' The RO community responds to practitioner-led, evidence-based contributions.</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OUTREACH  </w:t>
            </w:r>
            <w:r>
              <w:rPr>
                <w:rFonts w:ascii="Arial" w:cs="Arial" w:eastAsia="Arial" w:hAnsi="Arial"/>
                <w:color w:val="1A1A1A"/>
                <w:sz w:val="20"/>
                <w:szCs w:val="20"/>
              </w:rPr>
              <w:t xml:space="preserve">Laloux's community operates through a wiki, newsletter, and practitioner Facebook group. Guest submissions are accepted. Laloux himself is accessible via his website for substantive alignment inquiries.</w:t>
            </w:r>
          </w:p>
        </w:tc>
      </w:tr>
      <w:tr>
        <w:tc>
          <w:tcPr>
            <w:tcW w:type="dxa" w:w="9360"/>
            <w:tcBorders>
              <w:top w:val="single" w:color="CCBBAA" w:sz="4"/>
              <w:left w:val="none" w:color="FFFFFF" w:sz="0"/>
              <w:bottom w:val="none" w:color="FFFFFF" w:sz="0"/>
              <w:right w:val="none" w:color="FFFFFF" w:sz="0"/>
            </w:tcBorders>
          </w:tcPr>
          <w:p>
            <w:pPr>
              <w:spacing w:after="0" w:before="0"/>
            </w:pPr>
            <w:r>
              <w:t xml:space="preserve"/>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975A" w:sz="4"/>
              <w:left w:val="single" w:color="B8975A" w:sz="8"/>
              <w:bottom w:val="none" w:color="FFFFFF" w:sz="0"/>
              <w:right w:val="none" w:color="FFFFFF" w:sz="0"/>
            </w:tcBorders>
            <w:shd w:fill="F5F1EB" w:val="clear"/>
            <w:tcMar>
              <w:top w:type="dxa" w:w="120"/>
              <w:left w:type="dxa" w:w="200"/>
              <w:bottom w:type="dxa" w:w="80"/>
              <w:right w:type="dxa" w:w="120"/>
            </w:tcMar>
          </w:tcPr>
          <w:p>
            <w:pPr>
              <w:spacing w:after="40" w:before="0"/>
            </w:pPr>
            <w:r>
              <w:rPr>
                <w:rFonts w:ascii="Arial" w:cs="Arial" w:eastAsia="Arial" w:hAnsi="Arial"/>
                <w:b/>
                <w:bCs/>
                <w:color w:val="1C2F5E"/>
                <w:sz w:val="24"/>
                <w:szCs w:val="24"/>
              </w:rPr>
              <w:t xml:space="preserve">BetterUp / Torch (via research partnership)</w:t>
            </w:r>
          </w:p>
          <w:p>
            <w:pPr>
              <w:spacing w:after="0" w:before="0"/>
            </w:pPr>
            <w:r>
              <w:rPr>
                <w:rFonts w:ascii="Arial" w:cs="Arial" w:eastAsia="Arial" w:hAnsi="Arial"/>
                <w:i/>
                <w:iCs/>
                <w:color w:val="888888"/>
                <w:sz w:val="20"/>
                <w:szCs w:val="20"/>
              </w:rPr>
              <w:t xml:space="preserve">Digital Coaching Platform  ·  San Francisco, CA</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WHY THIS PERSON  </w:t>
            </w:r>
            <w:r>
              <w:rPr>
                <w:rFonts w:ascii="Arial" w:cs="Arial" w:eastAsia="Arial" w:hAnsi="Arial"/>
                <w:color w:val="1A1A1A"/>
                <w:sz w:val="20"/>
                <w:szCs w:val="20"/>
              </w:rPr>
              <w:t xml:space="preserve">BetterUp is the dominant enterprise coaching platform — their research arm (the BetterUp Labs, led by Gabriella Rosen Kellerman) publishes peer-reviewed studies on coaching outcomes and mental fitness. A research partnership here would simultaneously validate HDM and access enterprise distribution.</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ALIGNMENT WITH HDM  </w:t>
            </w:r>
            <w:r>
              <w:rPr>
                <w:rFonts w:ascii="Arial" w:cs="Arial" w:eastAsia="Arial" w:hAnsi="Arial"/>
                <w:color w:val="1A1A1A"/>
                <w:sz w:val="20"/>
                <w:szCs w:val="20"/>
              </w:rPr>
              <w:t xml:space="preserve">BetterUp's 'mental fitness' framework and PEAK model are outcome-oriented. HDM's developmental architecture provides a structural underpinning for what BetterUp measures as outcomes. The DSP could slot into BetterUp's assessment stack as a developmental position indicator.</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APPROACH  </w:t>
            </w:r>
            <w:r>
              <w:rPr>
                <w:rFonts w:ascii="Arial" w:cs="Arial" w:eastAsia="Arial" w:hAnsi="Arial"/>
                <w:color w:val="1A1A1A"/>
                <w:sz w:val="20"/>
                <w:szCs w:val="20"/>
              </w:rPr>
              <w:t xml:space="preserve">Approach through the research partnership pathway, not the product one. BetterUp Labs actively co-publishes with external researchers. Frame a study: 'HDM Developmental Position as a Predictor of Coaching Outcomes in Enterprise Contexts.'</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OUTREACH  </w:t>
            </w:r>
            <w:r>
              <w:rPr>
                <w:rFonts w:ascii="Arial" w:cs="Arial" w:eastAsia="Arial" w:hAnsi="Arial"/>
                <w:color w:val="1A1A1A"/>
                <w:sz w:val="20"/>
                <w:szCs w:val="20"/>
              </w:rPr>
              <w:t xml:space="preserve">BetterUp Labs publishes contact information for research inquiries. Torch (smaller, values-aligned coaching platform) may be a more accessible first step with equivalent research credibility.</w:t>
            </w:r>
          </w:p>
        </w:tc>
      </w:tr>
      <w:tr>
        <w:tc>
          <w:tcPr>
            <w:tcW w:type="dxa" w:w="9360"/>
            <w:tcBorders>
              <w:top w:val="none" w:color="FFFFFF" w:sz="0"/>
              <w:left w:val="single" w:color="B8975A" w:sz="8"/>
              <w:bottom w:val="none" w:color="FFFFFF" w:sz="0"/>
              <w:right w:val="none" w:color="FFFFFF" w:sz="0"/>
            </w:tcBorders>
            <w:tcMar>
              <w:top w:type="dxa" w:w="80"/>
              <w:left w:type="dxa" w:w="200"/>
              <w:bottom w:type="dxa" w:w="80"/>
              <w:right w:type="dxa" w:w="120"/>
            </w:tcMar>
          </w:tcPr>
          <w:p>
            <w:pPr>
              <w:spacing w:after="40" w:before="40"/>
            </w:pPr>
            <w:r>
              <w:rPr>
                <w:rFonts w:ascii="Arial" w:cs="Arial" w:eastAsia="Arial" w:hAnsi="Arial"/>
                <w:b/>
                <w:bCs/>
                <w:color w:val="B8975A"/>
                <w:sz w:val="18"/>
                <w:szCs w:val="18"/>
              </w:rPr>
              <w:t xml:space="preserve">NOTE  </w:t>
            </w:r>
            <w:r>
              <w:rPr>
                <w:rFonts w:ascii="Arial" w:cs="Arial" w:eastAsia="Arial" w:hAnsi="Arial"/>
                <w:color w:val="1A1A1A"/>
                <w:sz w:val="20"/>
                <w:szCs w:val="20"/>
              </w:rPr>
              <w:t xml:space="preserve">Series A investors with BetterUp portfolio exposure will recognize this adjacency immediately. Surface it in the pitch deck.</w:t>
            </w:r>
          </w:p>
        </w:tc>
      </w:tr>
      <w:tr>
        <w:tc>
          <w:tcPr>
            <w:tcW w:type="dxa" w:w="9360"/>
            <w:tcBorders>
              <w:top w:val="single" w:color="CCBBAA" w:sz="4"/>
              <w:left w:val="none" w:color="FFFFFF" w:sz="0"/>
              <w:bottom w:val="none" w:color="FFFFFF" w:sz="0"/>
              <w:right w:val="none" w:color="FFFFFF" w:sz="0"/>
            </w:tcBorders>
          </w:tcPr>
          <w:p>
            <w:pPr>
              <w:spacing w:after="0" w:before="0"/>
            </w:pPr>
            <w:r>
              <w:t xml:space="preserve"/>
            </w:r>
          </w:p>
        </w:tc>
      </w:tr>
    </w:tbl>
    <w:p>
      <w:pPr>
        <w:spacing w:after="80" w:before="0"/>
      </w:pPr>
      <w:r>
        <w:t xml:space="preserve"/>
      </w:r>
    </w:p>
    <w:p>
      <w:r>
        <w:br w:type="page"/>
      </w:r>
    </w:p>
    <w:p>
      <w:pPr>
        <w:pStyle w:val="Heading1"/>
        <w:spacing w:after="160" w:before="480"/>
      </w:pPr>
      <w:r>
        <w:rPr>
          <w:rFonts w:ascii="Arial" w:cs="Arial" w:eastAsia="Arial" w:hAnsi="Arial"/>
          <w:b/>
          <w:bCs/>
          <w:color w:val="1C2F5E"/>
          <w:sz w:val="36"/>
          <w:szCs w:val="36"/>
        </w:rPr>
        <w:t xml:space="preserve">Outreach Template</w:t>
      </w:r>
    </w:p>
    <w:p>
      <w:pPr>
        <w:spacing w:after="100" w:before="60"/>
      </w:pPr>
      <w:r>
        <w:rPr>
          <w:rFonts w:ascii="Arial" w:cs="Arial" w:eastAsia="Arial" w:hAnsi="Arial"/>
          <w:color w:val="1A1A1A"/>
          <w:sz w:val="22"/>
          <w:szCs w:val="22"/>
        </w:rPr>
        <w:t xml:space="preserve">The following template is built for KzA's voice and tÅs tone. Adapt specifics for each contact — but the structure holds across all tiers.</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B8975A" w:sz="4"/>
              <w:bottom w:val="single" w:color="E8E4DF" w:sz="4"/>
              <w:right w:val="none" w:color="FFFFFF" w:sz="0"/>
            </w:tcBorders>
            <w:shd w:fill="EDE9E2" w:val="clear"/>
            <w:tcMar>
              <w:top w:type="dxa" w:w="80"/>
              <w:left w:type="dxa" w:w="140"/>
              <w:bottom w:type="dxa" w:w="80"/>
              <w:right w:type="dxa" w:w="100"/>
            </w:tcMar>
          </w:tcPr>
          <w:p>
            <w:r>
              <w:rPr>
                <w:rFonts w:ascii="Arial" w:cs="Arial" w:eastAsia="Arial" w:hAnsi="Arial"/>
                <w:b/>
                <w:bCs/>
                <w:color w:val="B8975A"/>
                <w:sz w:val="18"/>
                <w:szCs w:val="18"/>
              </w:rPr>
              <w:t xml:space="preserve">SUBJECT LINE</w:t>
            </w:r>
          </w:p>
        </w:tc>
        <w:tc>
          <w:tcPr>
            <w:tcW w:type="dxa" w:w="7360"/>
            <w:tcBorders>
              <w:top w:val="none" w:color="FFFFFF" w:sz="0"/>
              <w:left w:val="none" w:color="FFFFFF" w:sz="0"/>
              <w:bottom w:val="single" w:color="E8E4DF" w:sz="4"/>
              <w:right w:val="none" w:color="FFFFFF" w:sz="0"/>
            </w:tcBorders>
            <w:shd w:fill="FAFAF8" w:val="clear"/>
            <w:tcMar>
              <w:top w:type="dxa" w:w="80"/>
              <w:left w:type="dxa" w:w="160"/>
              <w:bottom w:type="dxa" w:w="80"/>
              <w:right w:type="dxa" w:w="120"/>
            </w:tcMar>
          </w:tcPr>
          <w:p>
            <w:r>
              <w:rPr>
                <w:rFonts w:ascii="Arial" w:cs="Arial" w:eastAsia="Arial" w:hAnsi="Arial"/>
                <w:i w:val="false"/>
                <w:iCs w:val="false"/>
                <w:color w:val="1A1A1A"/>
                <w:sz w:val="20"/>
                <w:szCs w:val="20"/>
              </w:rPr>
              <w:t xml:space="preserve">Recovered Science, Recovered Knowing — a conversation about [their field] and Human Development Mathematics</w:t>
            </w:r>
          </w:p>
        </w:tc>
      </w:tr>
      <w:tr>
        <w:tc>
          <w:tcPr>
            <w:tcW w:type="dxa" w:w="2000"/>
            <w:tcBorders>
              <w:top w:val="none" w:color="FFFFFF" w:sz="0"/>
              <w:left w:val="single" w:color="B8975A" w:sz="4"/>
              <w:bottom w:val="single" w:color="E8E4DF" w:sz="4"/>
              <w:right w:val="none" w:color="FFFFFF" w:sz="0"/>
            </w:tcBorders>
            <w:shd w:fill="F5F2ED" w:val="clear"/>
            <w:tcMar>
              <w:top w:type="dxa" w:w="80"/>
              <w:left w:type="dxa" w:w="140"/>
              <w:bottom w:type="dxa" w:w="80"/>
              <w:right w:type="dxa" w:w="100"/>
            </w:tcMar>
          </w:tcPr>
          <w:p>
            <w:r>
              <w:rPr>
                <w:rFonts w:ascii="Arial" w:cs="Arial" w:eastAsia="Arial" w:hAnsi="Arial"/>
                <w:b/>
                <w:bCs/>
                <w:color w:val="B8975A"/>
                <w:sz w:val="18"/>
                <w:szCs w:val="18"/>
              </w:rPr>
              <w:t xml:space="preserve">OPENING</w:t>
            </w:r>
          </w:p>
        </w:tc>
        <w:tc>
          <w:tcPr>
            <w:tcW w:type="dxa" w:w="7360"/>
            <w:tcBorders>
              <w:top w:val="none" w:color="FFFFFF" w:sz="0"/>
              <w:left w:val="none" w:color="FFFFFF" w:sz="0"/>
              <w:bottom w:val="single" w:color="E8E4DF" w:sz="4"/>
              <w:right w:val="none" w:color="FFFFFF" w:sz="0"/>
            </w:tcBorders>
            <w:shd w:fill="FAFAF8" w:val="clear"/>
            <w:tcMar>
              <w:top w:type="dxa" w:w="80"/>
              <w:left w:type="dxa" w:w="160"/>
              <w:bottom w:type="dxa" w:w="80"/>
              <w:right w:type="dxa" w:w="120"/>
            </w:tcMar>
          </w:tcPr>
          <w:p>
            <w:r>
              <w:rPr>
                <w:rFonts w:ascii="Arial" w:cs="Arial" w:eastAsia="Arial" w:hAnsi="Arial"/>
                <w:i/>
                <w:iCs/>
                <w:color w:val="1A1A1A"/>
                <w:sz w:val="20"/>
                <w:szCs w:val="20"/>
              </w:rPr>
              <w:t xml:space="preserve">Your work on [specific concept] opens a door I've been standing at for years. I've developed a framework called Human Development Mathematics — and the more I map it against the traditions you work in, the more I see it as recovery rather than invention.</w:t>
            </w:r>
          </w:p>
        </w:tc>
      </w:tr>
      <w:tr>
        <w:tc>
          <w:tcPr>
            <w:tcW w:type="dxa" w:w="2000"/>
            <w:tcBorders>
              <w:top w:val="none" w:color="FFFFFF" w:sz="0"/>
              <w:left w:val="single" w:color="B8975A" w:sz="4"/>
              <w:bottom w:val="single" w:color="E8E4DF" w:sz="4"/>
              <w:right w:val="none" w:color="FFFFFF" w:sz="0"/>
            </w:tcBorders>
            <w:shd w:fill="F5F2ED" w:val="clear"/>
            <w:tcMar>
              <w:top w:type="dxa" w:w="80"/>
              <w:left w:type="dxa" w:w="140"/>
              <w:bottom w:type="dxa" w:w="80"/>
              <w:right w:type="dxa" w:w="100"/>
            </w:tcMar>
          </w:tcPr>
          <w:p>
            <w:r>
              <w:rPr>
                <w:rFonts w:ascii="Arial" w:cs="Arial" w:eastAsia="Arial" w:hAnsi="Arial"/>
                <w:b/>
                <w:bCs/>
                <w:color w:val="B8975A"/>
                <w:sz w:val="18"/>
                <w:szCs w:val="18"/>
              </w:rPr>
              <w:t xml:space="preserve">THE ASK</w:t>
            </w:r>
          </w:p>
        </w:tc>
        <w:tc>
          <w:tcPr>
            <w:tcW w:type="dxa" w:w="7360"/>
            <w:tcBorders>
              <w:top w:val="none" w:color="FFFFFF" w:sz="0"/>
              <w:left w:val="none" w:color="FFFFFF" w:sz="0"/>
              <w:bottom w:val="single" w:color="E8E4DF" w:sz="4"/>
              <w:right w:val="none" w:color="FFFFFF" w:sz="0"/>
            </w:tcBorders>
            <w:shd w:fill="FAFAF8" w:val="clear"/>
            <w:tcMar>
              <w:top w:type="dxa" w:w="80"/>
              <w:left w:type="dxa" w:w="160"/>
              <w:bottom w:type="dxa" w:w="80"/>
              <w:right w:type="dxa" w:w="120"/>
            </w:tcMar>
          </w:tcPr>
          <w:p>
            <w:r>
              <w:rPr>
                <w:rFonts w:ascii="Arial" w:cs="Arial" w:eastAsia="Arial" w:hAnsi="Arial"/>
                <w:i/>
                <w:iCs/>
                <w:color w:val="1A1A1A"/>
                <w:sz w:val="20"/>
                <w:szCs w:val="20"/>
              </w:rPr>
              <w:t xml:space="preserve">15 minutes. I'm not pitching a product. I'm looking for a conversation about lineage, and whether what I'm building might be part of a shared ecology of knowledge.</w:t>
            </w:r>
          </w:p>
        </w:tc>
      </w:tr>
      <w:tr>
        <w:tc>
          <w:tcPr>
            <w:tcW w:type="dxa" w:w="2000"/>
            <w:tcBorders>
              <w:top w:val="none" w:color="FFFFFF" w:sz="0"/>
              <w:left w:val="single" w:color="B8975A" w:sz="4"/>
              <w:bottom w:val="single" w:color="E8E4DF" w:sz="4"/>
              <w:right w:val="none" w:color="FFFFFF" w:sz="0"/>
            </w:tcBorders>
            <w:shd w:fill="F5F2ED" w:val="clear"/>
            <w:tcMar>
              <w:top w:type="dxa" w:w="80"/>
              <w:left w:type="dxa" w:w="140"/>
              <w:bottom w:type="dxa" w:w="80"/>
              <w:right w:type="dxa" w:w="100"/>
            </w:tcMar>
          </w:tcPr>
          <w:p>
            <w:r>
              <w:rPr>
                <w:rFonts w:ascii="Arial" w:cs="Arial" w:eastAsia="Arial" w:hAnsi="Arial"/>
                <w:b/>
                <w:bCs/>
                <w:color w:val="B8975A"/>
                <w:sz w:val="18"/>
                <w:szCs w:val="18"/>
              </w:rPr>
              <w:t xml:space="preserve">CLOSING</w:t>
            </w:r>
          </w:p>
        </w:tc>
        <w:tc>
          <w:tcPr>
            <w:tcW w:type="dxa" w:w="7360"/>
            <w:tcBorders>
              <w:top w:val="none" w:color="FFFFFF" w:sz="0"/>
              <w:left w:val="none" w:color="FFFFFF" w:sz="0"/>
              <w:bottom w:val="single" w:color="E8E4DF" w:sz="4"/>
              <w:right w:val="none" w:color="FFFFFF" w:sz="0"/>
            </w:tcBorders>
            <w:shd w:fill="FAFAF8" w:val="clear"/>
            <w:tcMar>
              <w:top w:type="dxa" w:w="80"/>
              <w:left w:type="dxa" w:w="160"/>
              <w:bottom w:type="dxa" w:w="80"/>
              <w:right w:type="dxa" w:w="120"/>
            </w:tcMar>
          </w:tcPr>
          <w:p>
            <w:r>
              <w:rPr>
                <w:rFonts w:ascii="Arial" w:cs="Arial" w:eastAsia="Arial" w:hAnsi="Arial"/>
                <w:i/>
                <w:iCs/>
                <w:color w:val="1A1A1A"/>
                <w:sz w:val="20"/>
                <w:szCs w:val="20"/>
              </w:rPr>
              <w:t xml:space="preserve">I'd be honored to share what I've built and hear where you think it belongs in the larger conversation. — KzA</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8760"/>
        <w:gridCol w:w="360"/>
      </w:tblGrid>
      <w:tr>
        <w:tc>
          <w:tcPr>
            <w:tcW w:type="dxa" w:w="240"/>
            <w:tcBorders>
              <w:top w:val="none" w:color="FFFFFF" w:sz="0"/>
              <w:left w:val="single" w:color="B8975A" w:sz="16"/>
              <w:bottom w:val="none" w:color="FFFFFF" w:sz="0"/>
              <w:right w:val="none" w:color="FFFFFF" w:sz="0"/>
            </w:tcBorders>
          </w:tcPr>
          <w:p>
            <w:r>
              <w:t xml:space="preserve"/>
            </w:r>
          </w:p>
        </w:tc>
        <w:tc>
          <w:tcPr>
            <w:tcW w:type="dxa" w:w="8760"/>
            <w:tcBorders>
              <w:top w:val="none" w:color="FFFFFF" w:sz="0"/>
              <w:left w:val="none" w:color="FFFFFF" w:sz="0"/>
              <w:bottom w:val="none" w:color="FFFFFF" w:sz="0"/>
              <w:right w:val="none" w:color="FFFFFF" w:sz="0"/>
            </w:tcBorders>
            <w:shd w:fill="FDF9F4" w:val="clear"/>
            <w:tcMar>
              <w:top w:type="dxa" w:w="160"/>
              <w:left w:type="dxa" w:w="200"/>
              <w:bottom w:type="dxa" w:w="160"/>
              <w:right w:type="dxa" w:w="120"/>
            </w:tcMar>
          </w:tcPr>
          <w:p>
            <w:pPr>
              <w:spacing w:after="0" w:before="0"/>
            </w:pPr>
            <w:r>
              <w:rPr>
                <w:rFonts w:ascii="Arial" w:cs="Arial" w:eastAsia="Arial" w:hAnsi="Arial"/>
                <w:i/>
                <w:iCs/>
                <w:color w:val="1C2F5E"/>
                <w:sz w:val="24"/>
                <w:szCs w:val="24"/>
              </w:rPr>
              <w:t xml:space="preserve">The one rule: lead with the work, not the ask. The work is the invitation. The ask is the next step they name themselves.</w:t>
            </w:r>
          </w:p>
        </w:tc>
        <w:tc>
          <w:tcPr>
            <w:tcW w:type="dxa" w:w="360"/>
            <w:tcBorders>
              <w:top w:val="none" w:color="FFFFFF" w:sz="0"/>
              <w:left w:val="none" w:color="FFFFFF" w:sz="0"/>
              <w:bottom w:val="none" w:color="FFFFFF" w:sz="0"/>
              <w:right w:val="none" w:color="FFFFFF" w:sz="0"/>
            </w:tcBorders>
          </w:tcPr>
          <w:p>
            <w:r>
              <w:t xml:space="preserve"/>
            </w:r>
          </w:p>
        </w:tc>
      </w:tr>
    </w:tbl>
    <w:p>
      <w:pPr>
        <w:spacing w:after="80" w:before="0"/>
      </w:pPr>
      <w:r>
        <w:t xml:space="preserve"/>
      </w:r>
    </w:p>
    <w:p>
      <w:pPr>
        <w:pStyle w:val="Heading1"/>
        <w:spacing w:after="160" w:before="480"/>
      </w:pPr>
      <w:r>
        <w:rPr>
          <w:rFonts w:ascii="Arial" w:cs="Arial" w:eastAsia="Arial" w:hAnsi="Arial"/>
          <w:b/>
          <w:bCs/>
          <w:color w:val="1C2F5E"/>
          <w:sz w:val="36"/>
          <w:szCs w:val="36"/>
        </w:rPr>
        <w:t xml:space="preserve">Ecological Union Statement</w:t>
      </w:r>
    </w:p>
    <w:p>
      <w:pPr>
        <w:pStyle w:val="Heading2"/>
        <w:spacing w:after="120" w:before="360"/>
      </w:pPr>
      <w:r>
        <w:rPr>
          <w:rFonts w:ascii="Arial" w:cs="Arial" w:eastAsia="Arial" w:hAnsi="Arial"/>
          <w:b/>
          <w:bCs/>
          <w:color w:val="1C2F5E"/>
          <w:sz w:val="26"/>
          <w:szCs w:val="26"/>
        </w:rPr>
        <w:t xml:space="preserve">What This Partnership Ecology Is and Is Not</w:t>
      </w:r>
    </w:p>
    <w:p>
      <w:pPr>
        <w:spacing w:after="100" w:before="60"/>
      </w:pPr>
      <w:r>
        <w:rPr>
          <w:rFonts w:ascii="Arial" w:cs="Arial" w:eastAsia="Arial" w:hAnsi="Arial"/>
          <w:color w:val="1A1A1A"/>
          <w:sz w:val="22"/>
          <w:szCs w:val="22"/>
        </w:rPr>
        <w:t xml:space="preserve">HDM is not asking these communities to validate something external to their traditions. It is asking: do you recognize this mathematics? Have you been holding a version of it in your language?</w:t>
      </w:r>
    </w:p>
    <w:p>
      <w:pPr>
        <w:spacing w:after="100" w:before="60"/>
      </w:pPr>
      <w:r>
        <w:rPr>
          <w:rFonts w:ascii="Arial" w:cs="Arial" w:eastAsia="Arial" w:hAnsi="Arial"/>
          <w:color w:val="1A1A1A"/>
          <w:sz w:val="22"/>
          <w:szCs w:val="22"/>
        </w:rPr>
        <w:t xml:space="preserve">The Seven Bridges document offers one answer: yes. Gerdes was mapping the same intelligence HDM names. Ubuntu philosophers were building Octave 3 before it had a number. The I Ching was navigating the 64 states of developmental flux. Kegan was watching the subject-object threshold in real time.</w:t>
      </w:r>
    </w:p>
    <w:p>
      <w:pPr>
        <w:spacing w:after="100" w:before="60"/>
      </w:pPr>
      <w:r>
        <w:rPr>
          <w:rFonts w:ascii="Arial" w:cs="Arial" w:eastAsia="Arial" w:hAnsi="Arial"/>
          <w:color w:val="1A1A1A"/>
          <w:sz w:val="22"/>
          <w:szCs w:val="22"/>
        </w:rPr>
        <w:t xml:space="preserve">The ecological union HDM proposes is not a merger. It is a field — a commons of intelligence where each tradition remains distinct and legible in its own terms, and where the connective tissue between them becomes visible as a shared mathematics.</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8760"/>
        <w:gridCol w:w="360"/>
      </w:tblGrid>
      <w:tr>
        <w:tc>
          <w:tcPr>
            <w:tcW w:type="dxa" w:w="240"/>
            <w:tcBorders>
              <w:top w:val="none" w:color="FFFFFF" w:sz="0"/>
              <w:left w:val="single" w:color="B8975A" w:sz="16"/>
              <w:bottom w:val="none" w:color="FFFFFF" w:sz="0"/>
              <w:right w:val="none" w:color="FFFFFF" w:sz="0"/>
            </w:tcBorders>
          </w:tcPr>
          <w:p>
            <w:r>
              <w:t xml:space="preserve"/>
            </w:r>
          </w:p>
        </w:tc>
        <w:tc>
          <w:tcPr>
            <w:tcW w:type="dxa" w:w="8760"/>
            <w:tcBorders>
              <w:top w:val="none" w:color="FFFFFF" w:sz="0"/>
              <w:left w:val="none" w:color="FFFFFF" w:sz="0"/>
              <w:bottom w:val="none" w:color="FFFFFF" w:sz="0"/>
              <w:right w:val="none" w:color="FFFFFF" w:sz="0"/>
            </w:tcBorders>
            <w:shd w:fill="FDF9F4" w:val="clear"/>
            <w:tcMar>
              <w:top w:type="dxa" w:w="160"/>
              <w:left w:type="dxa" w:w="200"/>
              <w:bottom w:type="dxa" w:w="160"/>
              <w:right w:type="dxa" w:w="120"/>
            </w:tcMar>
          </w:tcPr>
          <w:p>
            <w:pPr>
              <w:spacing w:after="0" w:before="0"/>
            </w:pPr>
            <w:r>
              <w:rPr>
                <w:rFonts w:ascii="Arial" w:cs="Arial" w:eastAsia="Arial" w:hAnsi="Arial"/>
                <w:i/>
                <w:iCs/>
                <w:color w:val="1C2F5E"/>
                <w:sz w:val="24"/>
                <w:szCs w:val="24"/>
              </w:rPr>
              <w:t xml:space="preserve">Connective intelligence as a shared ecosystem of natural world intelligences in communal action. — KzA</w:t>
            </w:r>
          </w:p>
        </w:tc>
        <w:tc>
          <w:tcPr>
            <w:tcW w:type="dxa" w:w="360"/>
            <w:tcBorders>
              <w:top w:val="none" w:color="FFFFFF" w:sz="0"/>
              <w:left w:val="none" w:color="FFFFFF" w:sz="0"/>
              <w:bottom w:val="none" w:color="FFFFFF" w:sz="0"/>
              <w:right w:val="none" w:color="FFFFFF" w:sz="0"/>
            </w:tcBorders>
          </w:tcPr>
          <w:p>
            <w:r>
              <w:t xml:space="preserve"/>
            </w:r>
          </w:p>
        </w:tc>
      </w:tr>
    </w:tbl>
    <w:p>
      <w:pPr>
        <w:spacing w:after="80" w:before="0"/>
      </w:pPr>
      <w:r>
        <w:t xml:space="preserve"/>
      </w:r>
    </w:p>
    <w:p>
      <w:pPr>
        <w:spacing w:after="100" w:before="60"/>
      </w:pPr>
      <w:r>
        <w:rPr>
          <w:rFonts w:ascii="Arial" w:cs="Arial" w:eastAsia="Arial" w:hAnsi="Arial"/>
          <w:color w:val="1A1A1A"/>
          <w:sz w:val="22"/>
          <w:szCs w:val="22"/>
        </w:rPr>
        <w:t xml:space="preserve">PING is the technology that makes this visible in human systems. The Exploratorium is where people experience it. The academic partnerships are the lineage that gives it standing.</w:t>
      </w:r>
    </w:p>
    <w:p>
      <w:pPr>
        <w:spacing w:after="100" w:before="60"/>
      </w:pPr>
      <w:r>
        <w:rPr>
          <w:rFonts w:ascii="Arial" w:cs="Arial" w:eastAsia="Arial" w:hAnsi="Arial"/>
          <w:color w:val="1A1A1A"/>
          <w:sz w:val="22"/>
          <w:szCs w:val="22"/>
        </w:rPr>
        <w:t xml:space="preserve">The mathematics has always been there. We are building the building that allows people to walk inside it.</w:t>
      </w:r>
    </w:p>
    <w:p>
      <w:pPr>
        <w:spacing w:after="80" w:before="0"/>
      </w:pPr>
      <w:r>
        <w:t xml:space="preserve"/>
      </w:r>
    </w:p>
    <w:p>
      <w:pPr>
        <w:spacing w:after="80" w:before="0"/>
      </w:pPr>
      <w:r>
        <w:t xml:space="preserve"/>
      </w:r>
    </w:p>
    <w:p>
      <w:pPr>
        <w:pBdr>
          <w:bottom w:val="single" w:color="CCBBAA" w:sz="4"/>
        </w:pBdr>
        <w:spacing w:after="120" w:before="120"/>
      </w:pPr>
      <w:r>
        <w:t xml:space="preserve"/>
      </w:r>
    </w:p>
    <w:p>
      <w:pPr>
        <w:spacing w:after="80" w:before="0"/>
      </w:pPr>
      <w:r>
        <w:t xml:space="preserve"/>
      </w:r>
    </w:p>
    <w:p>
      <w:pPr>
        <w:jc w:val="center"/>
      </w:pPr>
      <w:r>
        <w:rPr>
          <w:rFonts w:ascii="Arial" w:cs="Arial" w:eastAsia="Arial" w:hAnsi="Arial"/>
          <w:i/>
          <w:iCs/>
          <w:color w:val="888888"/>
          <w:sz w:val="18"/>
          <w:szCs w:val="18"/>
        </w:rPr>
        <w:t xml:space="preserve">THE ÅĻÏEN SCÖÕL  ·  Human Development Mathematics  ·  2026</w:t>
      </w:r>
    </w:p>
    <w:p>
      <w:pPr>
        <w:spacing w:after="0" w:before="60"/>
        <w:jc w:val="center"/>
      </w:pPr>
      <w:r>
        <w:rPr>
          <w:rFonts w:ascii="Arial" w:cs="Arial" w:eastAsia="Arial" w:hAnsi="Arial"/>
          <w:i/>
          <w:iCs/>
          <w:color w:val="888888"/>
          <w:sz w:val="18"/>
          <w:szCs w:val="18"/>
        </w:rPr>
        <w:t xml:space="preserve">kzakabueze@gmail.com  ·  tÅs for Creative Thïnking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BBAA" w:sz="4"/>
      </w:pBdr>
      <w:spacing w:before="80"/>
    </w:pPr>
    <w:r>
      <w:rPr>
        <w:rFonts w:ascii="Arial" w:cs="Arial" w:eastAsia="Arial" w:hAnsi="Arial"/>
        <w:color w:val="888888"/>
        <w:sz w:val="16"/>
        <w:szCs w:val="16"/>
      </w:rPr>
      <w:t xml:space="preserve">THE ÅĻÏEN SCÖÕL  ·  HDM Partnership Outreach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BBAA" w:sz="4"/>
      </w:pBdr>
      <w:spacing w:after="80"/>
    </w:pPr>
    <w:r>
      <w:rPr>
        <w:rFonts w:ascii="Arial" w:cs="Arial" w:eastAsia="Arial" w:hAnsi="Arial"/>
        <w:color w:val="B8975A"/>
        <w:sz w:val="16"/>
        <w:szCs w:val="16"/>
      </w:rPr>
      <w:t xml:space="preserve">HDM ACADEMIC &amp; ECOSYSTEM PARTNERSHIP BRIEF</w:t>
    </w:r>
    <w:r>
      <w:rPr>
        <w:rFonts w:ascii="Arial" w:cs="Arial" w:eastAsia="Arial" w:hAnsi="Arial"/>
        <w:color w:val="888888"/>
        <w:sz w:val="16"/>
        <w:szCs w:val="16"/>
      </w:rPr>
      <w:t xml:space="preserve">  ·  CONFIDENTIAL  ·  tÅs / Human Development Mathematics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C2F5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C2F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2026-03-12T23:03:47.576Z</dcterms:created>
  <dcterms:modified xsi:type="dcterms:W3CDTF">2026-03-12T23:03:47.576Z</dcterms:modified>
</cp:coreProperties>
</file>

<file path=docProps/custom.xml><?xml version="1.0" encoding="utf-8"?>
<Properties xmlns="http://schemas.openxmlformats.org/officeDocument/2006/custom-properties" xmlns:vt="http://schemas.openxmlformats.org/officeDocument/2006/docPropsVTypes"/>
</file>