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OpenMower-TAF-App - Änderungsdokumentation</w:t>
      </w:r>
    </w:p>
    <w:p>
      <w:pPr>
        <w:jc w:val="left"/>
      </w:pPr>
      <w:r>
        <w:rPr>
          <w:b/>
          <w:color w:val="2F5597"/>
          <w:sz w:val="36"/>
        </w:rPr>
        <w:t>GPS-Logging Skriptpfad-Feldzuordnung</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D9EAF7"/>
          </w:tcPr>
          <w:p>
            <w:r/>
            <w:r>
              <w:rPr>
                <w:rFonts w:ascii="Arial" w:hAnsi="Arial"/>
                <w:b/>
                <w:sz w:val="18"/>
              </w:rPr>
              <w:t>Projektname</w:t>
            </w:r>
          </w:p>
        </w:tc>
        <w:tc>
          <w:tcPr>
            <w:tcW w:type="dxa" w:w="5100"/>
          </w:tcPr>
          <w:p>
            <w:r/>
            <w:r>
              <w:rPr>
                <w:rFonts w:ascii="Arial" w:hAnsi="Arial"/>
                <w:b w:val="0"/>
                <w:sz w:val="18"/>
              </w:rPr>
              <w:t>OpenMower-TAF-App</w:t>
            </w:r>
          </w:p>
        </w:tc>
      </w:tr>
      <w:tr>
        <w:trPr>
          <w:cantSplit/>
        </w:trPr>
        <w:tc>
          <w:tcPr>
            <w:tcW w:type="dxa" w:w="5100"/>
            <w:shd w:fill="D9EAF7"/>
          </w:tcPr>
          <w:p>
            <w:r/>
            <w:r>
              <w:rPr>
                <w:rFonts w:ascii="Arial" w:hAnsi="Arial"/>
                <w:b/>
                <w:sz w:val="18"/>
              </w:rPr>
              <w:t>Dokumentenart</w:t>
            </w:r>
          </w:p>
        </w:tc>
        <w:tc>
          <w:tcPr>
            <w:tcW w:type="dxa" w:w="5100"/>
          </w:tcPr>
          <w:p>
            <w:r/>
            <w:r>
              <w:rPr>
                <w:rFonts w:ascii="Arial" w:hAnsi="Arial"/>
                <w:b w:val="0"/>
                <w:sz w:val="18"/>
              </w:rPr>
              <w:t>Änderungsdokumentation</w:t>
            </w:r>
          </w:p>
        </w:tc>
      </w:tr>
      <w:tr>
        <w:trPr>
          <w:cantSplit/>
        </w:trPr>
        <w:tc>
          <w:tcPr>
            <w:tcW w:type="dxa" w:w="5100"/>
            <w:shd w:fill="D9EAF7"/>
          </w:tcPr>
          <w:p>
            <w:r/>
            <w:r>
              <w:rPr>
                <w:rFonts w:ascii="Arial" w:hAnsi="Arial"/>
                <w:b/>
                <w:sz w:val="18"/>
              </w:rPr>
              <w:t>Erstellungsdatum</w:t>
            </w:r>
          </w:p>
        </w:tc>
        <w:tc>
          <w:tcPr>
            <w:tcW w:type="dxa" w:w="5100"/>
          </w:tcPr>
          <w:p>
            <w:r/>
            <w:r>
              <w:rPr>
                <w:rFonts w:ascii="Arial" w:hAnsi="Arial"/>
                <w:b w:val="0"/>
                <w:sz w:val="18"/>
              </w:rPr>
              <w:t>2026-07-14</w:t>
            </w:r>
          </w:p>
        </w:tc>
      </w:tr>
      <w:tr>
        <w:trPr>
          <w:cantSplit/>
        </w:trPr>
        <w:tc>
          <w:tcPr>
            <w:tcW w:type="dxa" w:w="5100"/>
            <w:shd w:fill="D9EAF7"/>
          </w:tcPr>
          <w:p>
            <w:r/>
            <w:r>
              <w:rPr>
                <w:rFonts w:ascii="Arial" w:hAnsi="Arial"/>
                <w:b/>
                <w:sz w:val="18"/>
              </w:rPr>
              <w:t>Verantwortlich</w:t>
            </w:r>
          </w:p>
        </w:tc>
        <w:tc>
          <w:tcPr>
            <w:tcW w:type="dxa" w:w="5100"/>
          </w:tcPr>
          <w:p>
            <w:r/>
            <w:r>
              <w:rPr>
                <w:rFonts w:ascii="Arial" w:hAnsi="Arial"/>
                <w:b w:val="0"/>
                <w:sz w:val="18"/>
              </w:rPr>
              <w:t>OpenAI im Auftrag des Projektverantwortlichen</w:t>
            </w:r>
          </w:p>
        </w:tc>
      </w:tr>
      <w:tr>
        <w:trPr>
          <w:cantSplit/>
        </w:trPr>
        <w:tc>
          <w:tcPr>
            <w:tcW w:type="dxa" w:w="5100"/>
            <w:shd w:fill="D9EAF7"/>
          </w:tcPr>
          <w:p>
            <w:r/>
            <w:r>
              <w:rPr>
                <w:rFonts w:ascii="Arial" w:hAnsi="Arial"/>
                <w:b/>
                <w:sz w:val="18"/>
              </w:rPr>
              <w:t>Version</w:t>
            </w:r>
          </w:p>
        </w:tc>
        <w:tc>
          <w:tcPr>
            <w:tcW w:type="dxa" w:w="5100"/>
          </w:tcPr>
          <w:p>
            <w:r/>
            <w:r>
              <w:rPr>
                <w:rFonts w:ascii="Arial" w:hAnsi="Arial"/>
                <w:b w:val="0"/>
                <w:sz w:val="18"/>
              </w:rPr>
              <w:t>v0.15</w:t>
            </w:r>
          </w:p>
        </w:tc>
      </w:tr>
      <w:tr>
        <w:trPr>
          <w:cantSplit/>
        </w:trPr>
        <w:tc>
          <w:tcPr>
            <w:tcW w:type="dxa" w:w="5100"/>
            <w:shd w:fill="D9EAF7"/>
          </w:tcPr>
          <w:p>
            <w:r/>
            <w:r>
              <w:rPr>
                <w:rFonts w:ascii="Arial" w:hAnsi="Arial"/>
                <w:b/>
                <w:sz w:val="18"/>
              </w:rPr>
              <w:t>Status</w:t>
            </w:r>
          </w:p>
        </w:tc>
        <w:tc>
          <w:tcPr>
            <w:tcW w:type="dxa" w:w="5100"/>
          </w:tcPr>
          <w:p>
            <w:r/>
            <w:r>
              <w:rPr>
                <w:rFonts w:ascii="Arial" w:hAnsi="Arial"/>
                <w:b w:val="0"/>
                <w:sz w:val="18"/>
              </w:rPr>
              <w:t>Arbeitsstand / zur Prüfung</w:t>
            </w:r>
          </w:p>
        </w:tc>
      </w:tr>
      <w:tr>
        <w:trPr>
          <w:cantSplit/>
        </w:trPr>
        <w:tc>
          <w:tcPr>
            <w:tcW w:type="dxa" w:w="5100"/>
            <w:shd w:fill="D9EAF7"/>
          </w:tcPr>
          <w:p>
            <w:r/>
            <w:r>
              <w:rPr>
                <w:rFonts w:ascii="Arial" w:hAnsi="Arial"/>
                <w:b/>
                <w:sz w:val="18"/>
              </w:rPr>
              <w:t>Änderungsdatum</w:t>
            </w:r>
          </w:p>
        </w:tc>
        <w:tc>
          <w:tcPr>
            <w:tcW w:type="dxa" w:w="5100"/>
          </w:tcPr>
          <w:p>
            <w:r/>
            <w:r>
              <w:rPr>
                <w:rFonts w:ascii="Arial" w:hAnsi="Arial"/>
                <w:b w:val="0"/>
                <w:sz w:val="18"/>
              </w:rPr>
              <w:t>2026-07-14</w:t>
            </w:r>
          </w:p>
        </w:tc>
      </w:tr>
      <w:tr>
        <w:trPr>
          <w:cantSplit/>
        </w:trPr>
        <w:tc>
          <w:tcPr>
            <w:tcW w:type="dxa" w:w="5100"/>
            <w:shd w:fill="D9EAF7"/>
          </w:tcPr>
          <w:p>
            <w:r/>
            <w:r>
              <w:rPr>
                <w:rFonts w:ascii="Arial" w:hAnsi="Arial"/>
                <w:b/>
                <w:sz w:val="18"/>
              </w:rPr>
              <w:t>Ablageort</w:t>
            </w:r>
          </w:p>
        </w:tc>
        <w:tc>
          <w:tcPr>
            <w:tcW w:type="dxa" w:w="5100"/>
          </w:tcPr>
          <w:p>
            <w:r/>
            <w:r>
              <w:rPr>
                <w:rFonts w:ascii="Arial" w:hAnsi="Arial"/>
                <w:b w:val="0"/>
                <w:sz w:val="18"/>
              </w:rPr>
              <w:t>_Dokumentation im Projektpaket</w:t>
            </w:r>
          </w:p>
        </w:tc>
      </w:tr>
      <w:tr>
        <w:trPr>
          <w:cantSplit/>
        </w:trPr>
        <w:tc>
          <w:tcPr>
            <w:tcW w:type="dxa" w:w="5100"/>
            <w:shd w:fill="D9EAF7"/>
          </w:tcPr>
          <w:p>
            <w:r/>
            <w:r>
              <w:rPr>
                <w:rFonts w:ascii="Arial" w:hAnsi="Arial"/>
                <w:b/>
                <w:sz w:val="18"/>
              </w:rPr>
              <w:t>Referenzen</w:t>
            </w:r>
          </w:p>
        </w:tc>
        <w:tc>
          <w:tcPr>
            <w:tcW w:type="dxa" w:w="5100"/>
          </w:tcPr>
          <w:p>
            <w:r/>
            <w:r>
              <w:rPr>
                <w:rFonts w:ascii="Arial" w:hAnsi="Arial"/>
                <w:b w:val="0"/>
                <w:sz w:val="18"/>
              </w:rPr>
              <w:t>ROS-Änderungsdokumentation zentraler GPS-Logging-Skriptpfad v0.2; Nutzerprüfung der GPS-State-Oberfläche</w:t>
            </w:r>
          </w:p>
        </w:tc>
      </w:tr>
    </w:tbl>
    <w:p>
      <w:pPr>
        <w:pStyle w:val="Heading1"/>
      </w:pPr>
      <w:r>
        <w:t>1. Anlass und Fehlerbild</w:t>
      </w:r>
    </w:p>
    <w:p>
      <w:r>
        <w:t>In der Expertenansicht konnte der neue zentrale Skriptpfad im Eingabefeld „Logging Zielpfad“ erscheinen, während „Logging Skriptpfad“ weiterhin den alten persistenten Wert zeigte. Dadurch bestand die Gefahr, dass der Skriptpfad versehentlich als Ausgabeordner gespeichert wird. Das Backend meldete weiterhin „satellite logging script not found“ für den alten Pfad.</w:t>
      </w:r>
    </w:p>
    <w:p>
      <w:pPr>
        <w:pStyle w:val="Heading1"/>
      </w:pPr>
      <w:r>
        <w:t>2. Ziel der Änderung</w:t>
      </w:r>
    </w:p>
    <w:p>
      <w:pPr>
        <w:pStyle w:val="ListBullet"/>
      </w:pPr>
      <w:r>
        <w:t>Jedes Textfeld bleibt dauerhaft seinem eigenen MQTT-Schlüssel zugeordnet.</w:t>
      </w:r>
    </w:p>
    <w:p>
      <w:pPr>
        <w:pStyle w:val="ListBullet"/>
      </w:pPr>
      <w:r>
        <w:t>Die Migration schreibt ausschließlich logging_script_path.</w:t>
      </w:r>
    </w:p>
    <w:p>
      <w:pPr>
        <w:pStyle w:val="ListBullet"/>
      </w:pPr>
      <w:r>
        <w:t>logging_output_path und logging_ram_path werden bei der Migration nicht verändert.</w:t>
      </w:r>
    </w:p>
    <w:p>
      <w:pPr>
        <w:pStyle w:val="ListBullet"/>
      </w:pPr>
      <w:r>
        <w:t>Der Benutzer erhält eine eindeutige, ausführbare Migrationsaktion statt einer reinen Textanweisung.</w:t>
      </w:r>
    </w:p>
    <w:p>
      <w:pPr>
        <w:pStyle w:val="Heading1"/>
      </w:pPr>
      <w:r>
        <w:t>3. Implementierung</w:t>
      </w:r>
    </w:p>
    <w:p>
      <w:pPr>
        <w:pStyle w:val="Heading2"/>
      </w:pPr>
      <w:r>
        <w:t>3.1 Controller</w:t>
      </w:r>
    </w:p>
    <w:p>
      <w:r>
        <w:t>Die neue Methode prepareLoggingScriptPathMigration() setzt ausschließlich den Entwurf für logging_script_path auf /opt/open_mower_ros/scripts/record_satellites.sh. Ist der Schlüssel noch nicht vom Backend geliefert worden, wird keine Änderung vorgenommen und eine lokale Fehlermeldung angezeigt. Nach der Vorbereitung wird die Editor-Revision erhöht, damit das korrekte Textfeld mit dem neuen Entwurf neu aufgebaut wird.</w:t>
      </w:r>
    </w:p>
    <w:p>
      <w:pPr>
        <w:pStyle w:val="Heading2"/>
      </w:pPr>
      <w:r>
        <w:t>3.2 Oberfläche</w:t>
      </w:r>
    </w:p>
    <w:p>
      <w:r>
        <w:t>Die bisherige Migrationswarnung wurde um die Schaltfläche „Neuen Skriptpfad vorbereiten“ ergänzt. Der Hinweis erklärt ausdrücklich, dass Ziel- und RAM-Pfad unverändert bleiben. Zusätzlich erhält jedes Expertenfeld einen stabilen, schlüsselspezifischen Widget-Key. Unter dem Feld „Logging-Skriptpfad“ wird bei erkanntem Legacy-Pfad der neue Backend-Standard angezeigt.</w:t>
      </w:r>
    </w:p>
    <w:p>
      <w:pPr>
        <w:pStyle w:val="Heading1"/>
        <w:pageBreakBefore w:val="0"/>
      </w:pPr>
      <w:r>
        <w:t>4. Feldzuordnung nach der Korrektur</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B4C7E7"/>
          </w:tcPr>
          <w:p>
            <w:r/>
            <w:r>
              <w:rPr>
                <w:rFonts w:ascii="Arial" w:hAnsi="Arial"/>
                <w:b/>
                <w:sz w:val="18"/>
              </w:rPr>
              <w:t>App-Feld</w:t>
            </w:r>
          </w:p>
        </w:tc>
        <w:tc>
          <w:tcPr>
            <w:tcW w:type="dxa" w:w="3400"/>
            <w:shd w:fill="B4C7E7"/>
          </w:tcPr>
          <w:p>
            <w:r/>
            <w:r>
              <w:rPr>
                <w:rFonts w:ascii="Arial" w:hAnsi="Arial"/>
                <w:b/>
                <w:sz w:val="18"/>
              </w:rPr>
              <w:t>MQTT-Schlüssel</w:t>
            </w:r>
          </w:p>
        </w:tc>
        <w:tc>
          <w:tcPr>
            <w:tcW w:type="dxa" w:w="3400"/>
            <w:shd w:fill="B4C7E7"/>
          </w:tcPr>
          <w:p>
            <w:r/>
            <w:r>
              <w:rPr>
                <w:rFonts w:ascii="Arial" w:hAnsi="Arial"/>
                <w:b/>
                <w:sz w:val="18"/>
              </w:rPr>
              <w:t>Wirkung der Migration</w:t>
            </w:r>
          </w:p>
        </w:tc>
      </w:tr>
      <w:tr>
        <w:trPr>
          <w:cantSplit/>
        </w:trPr>
        <w:tc>
          <w:tcPr>
            <w:tcW w:type="dxa" w:w="3400"/>
          </w:tcPr>
          <w:p>
            <w:r/>
            <w:r>
              <w:rPr>
                <w:rFonts w:ascii="Arial" w:hAnsi="Arial"/>
                <w:b w:val="0"/>
                <w:sz w:val="18"/>
              </w:rPr>
              <w:t>Logging Zielpfad</w:t>
            </w:r>
          </w:p>
        </w:tc>
        <w:tc>
          <w:tcPr>
            <w:tcW w:type="dxa" w:w="3400"/>
          </w:tcPr>
          <w:p>
            <w:r/>
            <w:r>
              <w:rPr>
                <w:rFonts w:ascii="Arial" w:hAnsi="Arial"/>
                <w:b w:val="0"/>
                <w:sz w:val="18"/>
              </w:rPr>
              <w:t>logging_output_path</w:t>
            </w:r>
          </w:p>
        </w:tc>
        <w:tc>
          <w:tcPr>
            <w:tcW w:type="dxa" w:w="3400"/>
          </w:tcPr>
          <w:p>
            <w:r/>
            <w:r>
              <w:rPr>
                <w:rFonts w:ascii="Arial" w:hAnsi="Arial"/>
                <w:b w:val="0"/>
                <w:sz w:val="18"/>
              </w:rPr>
              <w:t>unverändert</w:t>
            </w:r>
          </w:p>
        </w:tc>
      </w:tr>
      <w:tr>
        <w:trPr>
          <w:cantSplit/>
        </w:trPr>
        <w:tc>
          <w:tcPr>
            <w:tcW w:type="dxa" w:w="3400"/>
          </w:tcPr>
          <w:p>
            <w:r/>
            <w:r>
              <w:rPr>
                <w:rFonts w:ascii="Arial" w:hAnsi="Arial"/>
                <w:b w:val="0"/>
                <w:sz w:val="18"/>
              </w:rPr>
              <w:t>Logging RAM-Pfad</w:t>
            </w:r>
          </w:p>
        </w:tc>
        <w:tc>
          <w:tcPr>
            <w:tcW w:type="dxa" w:w="3400"/>
          </w:tcPr>
          <w:p>
            <w:r/>
            <w:r>
              <w:rPr>
                <w:rFonts w:ascii="Arial" w:hAnsi="Arial"/>
                <w:b w:val="0"/>
                <w:sz w:val="18"/>
              </w:rPr>
              <w:t>logging_ram_path</w:t>
            </w:r>
          </w:p>
        </w:tc>
        <w:tc>
          <w:tcPr>
            <w:tcW w:type="dxa" w:w="3400"/>
          </w:tcPr>
          <w:p>
            <w:r/>
            <w:r>
              <w:rPr>
                <w:rFonts w:ascii="Arial" w:hAnsi="Arial"/>
                <w:b w:val="0"/>
                <w:sz w:val="18"/>
              </w:rPr>
              <w:t>unverändert</w:t>
            </w:r>
          </w:p>
        </w:tc>
      </w:tr>
      <w:tr>
        <w:trPr>
          <w:cantSplit/>
        </w:trPr>
        <w:tc>
          <w:tcPr>
            <w:tcW w:type="dxa" w:w="3400"/>
          </w:tcPr>
          <w:p>
            <w:r/>
            <w:r>
              <w:rPr>
                <w:rFonts w:ascii="Arial" w:hAnsi="Arial"/>
                <w:b w:val="0"/>
                <w:sz w:val="18"/>
              </w:rPr>
              <w:t>Logging Skriptpfad</w:t>
            </w:r>
          </w:p>
        </w:tc>
        <w:tc>
          <w:tcPr>
            <w:tcW w:type="dxa" w:w="3400"/>
          </w:tcPr>
          <w:p>
            <w:r/>
            <w:r>
              <w:rPr>
                <w:rFonts w:ascii="Arial" w:hAnsi="Arial"/>
                <w:b w:val="0"/>
                <w:sz w:val="18"/>
              </w:rPr>
              <w:t>logging_script_path</w:t>
            </w:r>
          </w:p>
        </w:tc>
        <w:tc>
          <w:tcPr>
            <w:tcW w:type="dxa" w:w="3400"/>
          </w:tcPr>
          <w:p>
            <w:r/>
            <w:r>
              <w:rPr>
                <w:rFonts w:ascii="Arial" w:hAnsi="Arial"/>
                <w:b w:val="0"/>
                <w:sz w:val="18"/>
              </w:rPr>
              <w:t>Entwurf wird auf /opt/open_mower_ros/scripts/record_satellites.sh gesetzt</w:t>
            </w:r>
          </w:p>
        </w:tc>
      </w:tr>
      <w:tr>
        <w:trPr>
          <w:cantSplit/>
        </w:trPr>
        <w:tc>
          <w:tcPr>
            <w:tcW w:type="dxa" w:w="3400"/>
          </w:tcPr>
          <w:p>
            <w:r/>
            <w:r>
              <w:rPr>
                <w:rFonts w:ascii="Arial" w:hAnsi="Arial"/>
                <w:b w:val="0"/>
                <w:sz w:val="18"/>
              </w:rPr>
              <w:t>Logging ROS-Container</w:t>
            </w:r>
          </w:p>
        </w:tc>
        <w:tc>
          <w:tcPr>
            <w:tcW w:type="dxa" w:w="3400"/>
          </w:tcPr>
          <w:p>
            <w:r/>
            <w:r>
              <w:rPr>
                <w:rFonts w:ascii="Arial" w:hAnsi="Arial"/>
                <w:b w:val="0"/>
                <w:sz w:val="18"/>
              </w:rPr>
              <w:t>logging_container_name</w:t>
            </w:r>
          </w:p>
        </w:tc>
        <w:tc>
          <w:tcPr>
            <w:tcW w:type="dxa" w:w="3400"/>
          </w:tcPr>
          <w:p>
            <w:r/>
            <w:r>
              <w:rPr>
                <w:rFonts w:ascii="Arial" w:hAnsi="Arial"/>
                <w:b w:val="0"/>
                <w:sz w:val="18"/>
              </w:rPr>
              <w:t>unverändert</w:t>
            </w:r>
          </w:p>
        </w:tc>
      </w:tr>
    </w:tbl>
    <w:p>
      <w:pPr>
        <w:pStyle w:val="Heading1"/>
      </w:pPr>
      <w:r>
        <w:t>5. Bedienablauf</w:t>
      </w:r>
    </w:p>
    <w:p>
      <w:pPr>
        <w:pStyle w:val="ListNumber"/>
      </w:pPr>
      <w:r>
        <w:t>Experteneinstellungen öffnen.</w:t>
      </w:r>
    </w:p>
    <w:p>
      <w:pPr>
        <w:pStyle w:val="ListNumber"/>
      </w:pPr>
      <w:r>
        <w:t>„Neuen Skriptpfad vorbereiten“ auswählen.</w:t>
      </w:r>
    </w:p>
    <w:p>
      <w:pPr>
        <w:pStyle w:val="ListNumber"/>
      </w:pPr>
      <w:r>
        <w:t>Prüfen, dass nur das Feld „Logging Skriptpfad“ den neuen Wert zeigt.</w:t>
      </w:r>
    </w:p>
    <w:p>
      <w:pPr>
        <w:pStyle w:val="ListNumber"/>
      </w:pPr>
      <w:r>
        <w:t>„Jetzt anwenden“ wählen und die Backend-Bestätigung abwarten.</w:t>
      </w:r>
    </w:p>
    <w:p>
      <w:pPr>
        <w:pStyle w:val="ListNumber"/>
      </w:pPr>
      <w:r>
        <w:t>Anschließend „Dauerhaft speichern“ wählen.</w:t>
      </w:r>
    </w:p>
    <w:p>
      <w:pPr>
        <w:pStyle w:val="ListNumber"/>
      </w:pPr>
      <w:r>
        <w:t>„Einstellungen neu laden“ oder „Renew“ ausführen und aktive sowie gespeicherte Werte kontrollieren.</w:t>
      </w:r>
    </w:p>
    <w:p>
      <w:pPr>
        <w:pStyle w:val="Heading1"/>
      </w:pPr>
      <w:r>
        <w:t>6. Betroffene Dateien</w:t>
      </w:r>
    </w:p>
    <w:tbl>
      <w:tblPr>
        <w:tblStyle w:val="TableGrid"/>
        <w:tblW w:type="auto" w:w="0"/>
        <w:tblLook w:firstColumn="1" w:firstRow="1" w:lastColumn="0" w:lastRow="0" w:noHBand="0" w:noVBand="1" w:val="04A0"/>
      </w:tblPr>
      <w:tblGrid>
        <w:gridCol w:w="5100"/>
        <w:gridCol w:w="5100"/>
      </w:tblGrid>
      <w:tr>
        <w:trPr>
          <w:cantSplit/>
        </w:trPr>
        <w:tc>
          <w:tcPr>
            <w:tcW w:type="dxa" w:w="5100"/>
            <w:shd w:fill="B4C7E7"/>
          </w:tcPr>
          <w:p>
            <w:r/>
            <w:r>
              <w:rPr>
                <w:rFonts w:ascii="Arial" w:hAnsi="Arial"/>
                <w:b/>
                <w:sz w:val="18"/>
              </w:rPr>
              <w:t>Datei</w:t>
            </w:r>
          </w:p>
        </w:tc>
        <w:tc>
          <w:tcPr>
            <w:tcW w:type="dxa" w:w="5100"/>
            <w:shd w:fill="B4C7E7"/>
          </w:tcPr>
          <w:p>
            <w:r/>
            <w:r>
              <w:rPr>
                <w:rFonts w:ascii="Arial" w:hAnsi="Arial"/>
                <w:b/>
                <w:sz w:val="18"/>
              </w:rPr>
              <w:t>Änderung</w:t>
            </w:r>
          </w:p>
        </w:tc>
      </w:tr>
      <w:tr>
        <w:trPr>
          <w:cantSplit/>
        </w:trPr>
        <w:tc>
          <w:tcPr>
            <w:tcW w:type="dxa" w:w="5100"/>
          </w:tcPr>
          <w:p>
            <w:r/>
            <w:r>
              <w:rPr>
                <w:rFonts w:ascii="Arial" w:hAnsi="Arial"/>
                <w:b w:val="0"/>
                <w:sz w:val="18"/>
              </w:rPr>
              <w:t>lib/controllers/gps_state_controller.dart</w:t>
            </w:r>
          </w:p>
        </w:tc>
        <w:tc>
          <w:tcPr>
            <w:tcW w:type="dxa" w:w="5100"/>
          </w:tcPr>
          <w:p>
            <w:r/>
            <w:r>
              <w:rPr>
                <w:rFonts w:ascii="Arial" w:hAnsi="Arial"/>
                <w:b w:val="0"/>
                <w:sz w:val="18"/>
              </w:rPr>
              <w:t>Gezielte Migrationsmethode ergänzt.</w:t>
            </w:r>
          </w:p>
        </w:tc>
      </w:tr>
      <w:tr>
        <w:trPr>
          <w:cantSplit/>
        </w:trPr>
        <w:tc>
          <w:tcPr>
            <w:tcW w:type="dxa" w:w="5100"/>
          </w:tcPr>
          <w:p>
            <w:r/>
            <w:r>
              <w:rPr>
                <w:rFonts w:ascii="Arial" w:hAnsi="Arial"/>
                <w:b w:val="0"/>
                <w:sz w:val="18"/>
              </w:rPr>
              <w:t>lib/screens/gps_state.dart</w:t>
            </w:r>
          </w:p>
        </w:tc>
        <w:tc>
          <w:tcPr>
            <w:tcW w:type="dxa" w:w="5100"/>
          </w:tcPr>
          <w:p>
            <w:r/>
            <w:r>
              <w:rPr>
                <w:rFonts w:ascii="Arial" w:hAnsi="Arial"/>
                <w:b w:val="0"/>
                <w:sz w:val="18"/>
              </w:rPr>
              <w:t>Migrationsschaltfläche, schlüsselspezifische Widget-Keys und Skriptpfad-Hinweis ergänzt.</w:t>
            </w:r>
          </w:p>
        </w:tc>
      </w:tr>
      <w:tr>
        <w:trPr>
          <w:cantSplit/>
        </w:trPr>
        <w:tc>
          <w:tcPr>
            <w:tcW w:type="dxa" w:w="5100"/>
          </w:tcPr>
          <w:p>
            <w:r/>
            <w:r>
              <w:rPr>
                <w:rFonts w:ascii="Arial" w:hAnsi="Arial"/>
                <w:b w:val="0"/>
                <w:sz w:val="18"/>
              </w:rPr>
              <w:t>_Dokumentation/2026-07-14 - OpenMower-TAF-App - Änderungsdokumentation - GPS-Logging Skriptpfad-Feldzuordnung - v0.15.docx</w:t>
            </w:r>
          </w:p>
        </w:tc>
        <w:tc>
          <w:tcPr>
            <w:tcW w:type="dxa" w:w="5100"/>
          </w:tcPr>
          <w:p>
            <w:r/>
            <w:r>
              <w:rPr>
                <w:rFonts w:ascii="Arial" w:hAnsi="Arial"/>
                <w:b w:val="0"/>
                <w:sz w:val="18"/>
              </w:rPr>
              <w:t>Bearbeitbare Dokumentation.</w:t>
            </w:r>
          </w:p>
        </w:tc>
      </w:tr>
      <w:tr>
        <w:trPr>
          <w:cantSplit/>
        </w:trPr>
        <w:tc>
          <w:tcPr>
            <w:tcW w:type="dxa" w:w="5100"/>
          </w:tcPr>
          <w:p>
            <w:r/>
            <w:r>
              <w:rPr>
                <w:rFonts w:ascii="Arial" w:hAnsi="Arial"/>
                <w:b w:val="0"/>
                <w:sz w:val="18"/>
              </w:rPr>
              <w:t>_Dokumentation/2026-07-14 - OpenMower-TAF-App - Änderungsdokumentation - GPS-Logging Skriptpfad-Feldzuordnung - v0.15.pdf</w:t>
            </w:r>
          </w:p>
        </w:tc>
        <w:tc>
          <w:tcPr>
            <w:tcW w:type="dxa" w:w="5100"/>
          </w:tcPr>
          <w:p>
            <w:r/>
            <w:r>
              <w:rPr>
                <w:rFonts w:ascii="Arial" w:hAnsi="Arial"/>
                <w:b w:val="0"/>
                <w:sz w:val="18"/>
              </w:rPr>
              <w:t>Stabile PDF-Dokumentation.</w:t>
            </w:r>
          </w:p>
        </w:tc>
      </w:tr>
      <w:tr>
        <w:trPr>
          <w:cantSplit/>
        </w:trPr>
        <w:tc>
          <w:tcPr>
            <w:tcW w:type="dxa" w:w="5100"/>
          </w:tcPr>
          <w:p>
            <w:r/>
            <w:r>
              <w:rPr>
                <w:rFonts w:ascii="Arial" w:hAnsi="Arial"/>
                <w:b w:val="0"/>
                <w:sz w:val="18"/>
              </w:rPr>
              <w:t>commit_message_gps_logging_script_path_mapping_v0.15.txt</w:t>
            </w:r>
          </w:p>
        </w:tc>
        <w:tc>
          <w:tcPr>
            <w:tcW w:type="dxa" w:w="5100"/>
          </w:tcPr>
          <w:p>
            <w:r/>
            <w:r>
              <w:rPr>
                <w:rFonts w:ascii="Arial" w:hAnsi="Arial"/>
                <w:b w:val="0"/>
                <w:sz w:val="18"/>
              </w:rPr>
              <w:t>Commit-Nachricht.</w:t>
            </w:r>
          </w:p>
        </w:tc>
      </w:tr>
    </w:tbl>
    <w:p>
      <w:pPr>
        <w:pStyle w:val="Heading1"/>
      </w:pPr>
      <w:r>
        <w:t>7. Prüfung und Abnahmekriterien</w:t>
      </w:r>
    </w:p>
    <w:p>
      <w:pPr>
        <w:pStyle w:val="ListBullet"/>
      </w:pPr>
      <w:r>
        <w:t>Die Migrationsaktion erzeugt nur einen Entwurf für logging_script_path.</w:t>
      </w:r>
    </w:p>
    <w:p>
      <w:pPr>
        <w:pStyle w:val="ListBullet"/>
      </w:pPr>
      <w:r>
        <w:t>Der Zielpfad behält den vom Backend bestätigten Wert.</w:t>
      </w:r>
    </w:p>
    <w:p>
      <w:pPr>
        <w:pStyle w:val="ListBullet"/>
      </w:pPr>
      <w:r>
        <w:t>Der RAM-Pfad behält den vom Backend bestätigten Wert.</w:t>
      </w:r>
    </w:p>
    <w:p>
      <w:pPr>
        <w:pStyle w:val="ListBullet"/>
      </w:pPr>
      <w:r>
        <w:t>Die Schaltflächen zum Anwenden werden nach der Vorbereitung aktiv.</w:t>
      </w:r>
    </w:p>
    <w:p>
      <w:pPr>
        <w:pStyle w:val="ListBullet"/>
      </w:pPr>
      <w:r>
        <w:t>Das Sende-Payload enthält für die Migration ausschließlich den öffentlichen Schlüssel logging_script_path mit einem value-Objekt.</w:t>
      </w:r>
    </w:p>
    <w:p>
      <w:pPr>
        <w:pStyle w:val="ListBullet"/>
      </w:pPr>
      <w:r>
        <w:t>Nach erfolgreicher Session- und Persistenzbestätigung zeigen Aktiv und Gespeichert den neuen Skriptpfad.</w:t>
      </w:r>
    </w:p>
    <w:p>
      <w:r>
        <w:t>Hinweis: Ein Flutter-/Dart-Build konnte in der Bearbeitungsumgebung nicht ausgeführt werden, weil dort kein Flutter- oder Dart-SDK installiert ist. Die geänderten Stellen wurden strukturell geprüft; die vollständige Laufzeitprüfung erfolgt im regulären Projekt-Build.</w:t>
      </w:r>
    </w:p>
    <w:p>
      <w:pPr>
        <w:pStyle w:val="Heading1"/>
      </w:pPr>
      <w:r>
        <w:t>8. Änderungshistorie</w:t>
      </w:r>
    </w:p>
    <w:tbl>
      <w:tblPr>
        <w:tblStyle w:val="TableGrid"/>
        <w:tblW w:type="auto" w:w="0"/>
        <w:tblLook w:firstColumn="1" w:firstRow="1" w:lastColumn="0" w:lastRow="0" w:noHBand="0" w:noVBand="1" w:val="04A0"/>
      </w:tblPr>
      <w:tblGrid>
        <w:gridCol w:w="2040"/>
        <w:gridCol w:w="2040"/>
        <w:gridCol w:w="2040"/>
        <w:gridCol w:w="2040"/>
        <w:gridCol w:w="2040"/>
      </w:tblGrid>
      <w:tr>
        <w:trPr>
          <w:cantSplit/>
        </w:trPr>
        <w:tc>
          <w:tcPr>
            <w:tcW w:type="dxa" w:w="2040"/>
            <w:shd w:fill="B4C7E7"/>
          </w:tcPr>
          <w:p>
            <w:r/>
            <w:r>
              <w:rPr>
                <w:rFonts w:ascii="Arial" w:hAnsi="Arial"/>
                <w:b/>
                <w:sz w:val="18"/>
              </w:rPr>
              <w:t>Version</w:t>
            </w:r>
          </w:p>
        </w:tc>
        <w:tc>
          <w:tcPr>
            <w:tcW w:type="dxa" w:w="2040"/>
            <w:shd w:fill="B4C7E7"/>
          </w:tcPr>
          <w:p>
            <w:r/>
            <w:r>
              <w:rPr>
                <w:rFonts w:ascii="Arial" w:hAnsi="Arial"/>
                <w:b/>
                <w:sz w:val="18"/>
              </w:rPr>
              <w:t>Datum</w:t>
            </w:r>
          </w:p>
        </w:tc>
        <w:tc>
          <w:tcPr>
            <w:tcW w:type="dxa" w:w="2040"/>
            <w:shd w:fill="B4C7E7"/>
          </w:tcPr>
          <w:p>
            <w:r/>
            <w:r>
              <w:rPr>
                <w:rFonts w:ascii="Arial" w:hAnsi="Arial"/>
                <w:b/>
                <w:sz w:val="18"/>
              </w:rPr>
              <w:t>Bearbeiter</w:t>
            </w:r>
          </w:p>
        </w:tc>
        <w:tc>
          <w:tcPr>
            <w:tcW w:type="dxa" w:w="2040"/>
            <w:shd w:fill="B4C7E7"/>
          </w:tcPr>
          <w:p>
            <w:r/>
            <w:r>
              <w:rPr>
                <w:rFonts w:ascii="Arial" w:hAnsi="Arial"/>
                <w:b/>
                <w:sz w:val="18"/>
              </w:rPr>
              <w:t>Status</w:t>
            </w:r>
          </w:p>
        </w:tc>
        <w:tc>
          <w:tcPr>
            <w:tcW w:type="dxa" w:w="2040"/>
            <w:shd w:fill="B4C7E7"/>
          </w:tcPr>
          <w:p>
            <w:r/>
            <w:r>
              <w:rPr>
                <w:rFonts w:ascii="Arial" w:hAnsi="Arial"/>
                <w:b/>
                <w:sz w:val="18"/>
              </w:rPr>
              <w:t>Änderung</w:t>
            </w:r>
          </w:p>
        </w:tc>
      </w:tr>
      <w:tr>
        <w:trPr>
          <w:cantSplit/>
        </w:trPr>
        <w:tc>
          <w:tcPr>
            <w:tcW w:type="dxa" w:w="2040"/>
          </w:tcPr>
          <w:p>
            <w:r/>
            <w:r>
              <w:rPr>
                <w:rFonts w:ascii="Arial" w:hAnsi="Arial"/>
                <w:b w:val="0"/>
                <w:sz w:val="18"/>
              </w:rPr>
              <w:t>v0.14</w:t>
            </w:r>
          </w:p>
        </w:tc>
        <w:tc>
          <w:tcPr>
            <w:tcW w:type="dxa" w:w="2040"/>
          </w:tcPr>
          <w:p>
            <w:r/>
            <w:r>
              <w:rPr>
                <w:rFonts w:ascii="Arial" w:hAnsi="Arial"/>
                <w:b w:val="0"/>
                <w:sz w:val="18"/>
              </w:rPr>
              <w:t>2026-07-14</w:t>
            </w:r>
          </w:p>
        </w:tc>
        <w:tc>
          <w:tcPr>
            <w:tcW w:type="dxa" w:w="2040"/>
          </w:tcPr>
          <w:p>
            <w:r/>
            <w:r>
              <w:rPr>
                <w:rFonts w:ascii="Arial" w:hAnsi="Arial"/>
                <w:b w:val="0"/>
                <w:sz w:val="18"/>
              </w:rPr>
              <w:t>OpenAI</w:t>
            </w:r>
          </w:p>
        </w:tc>
        <w:tc>
          <w:tcPr>
            <w:tcW w:type="dxa" w:w="2040"/>
          </w:tcPr>
          <w:p>
            <w:r/>
            <w:r>
              <w:rPr>
                <w:rFonts w:ascii="Arial" w:hAnsi="Arial"/>
                <w:b w:val="0"/>
                <w:sz w:val="18"/>
              </w:rPr>
              <w:t>Arbeitsstand</w:t>
            </w:r>
          </w:p>
        </w:tc>
        <w:tc>
          <w:tcPr>
            <w:tcW w:type="dxa" w:w="2040"/>
          </w:tcPr>
          <w:p>
            <w:r/>
            <w:r>
              <w:rPr>
                <w:rFonts w:ascii="Arial" w:hAnsi="Arial"/>
                <w:b w:val="0"/>
                <w:sz w:val="18"/>
              </w:rPr>
              <w:t>Zentralen Skriptpfad und Logging-v2-Vertrag integriert.</w:t>
            </w:r>
          </w:p>
        </w:tc>
      </w:tr>
      <w:tr>
        <w:trPr>
          <w:cantSplit/>
        </w:trPr>
        <w:tc>
          <w:tcPr>
            <w:tcW w:type="dxa" w:w="2040"/>
          </w:tcPr>
          <w:p>
            <w:r/>
            <w:r>
              <w:rPr>
                <w:rFonts w:ascii="Arial" w:hAnsi="Arial"/>
                <w:b w:val="0"/>
                <w:sz w:val="18"/>
              </w:rPr>
              <w:t>v0.15</w:t>
            </w:r>
          </w:p>
        </w:tc>
        <w:tc>
          <w:tcPr>
            <w:tcW w:type="dxa" w:w="2040"/>
          </w:tcPr>
          <w:p>
            <w:r/>
            <w:r>
              <w:rPr>
                <w:rFonts w:ascii="Arial" w:hAnsi="Arial"/>
                <w:b w:val="0"/>
                <w:sz w:val="18"/>
              </w:rPr>
              <w:t>2026-07-14</w:t>
            </w:r>
          </w:p>
        </w:tc>
        <w:tc>
          <w:tcPr>
            <w:tcW w:type="dxa" w:w="2040"/>
          </w:tcPr>
          <w:p>
            <w:r/>
            <w:r>
              <w:rPr>
                <w:rFonts w:ascii="Arial" w:hAnsi="Arial"/>
                <w:b w:val="0"/>
                <w:sz w:val="18"/>
              </w:rPr>
              <w:t>OpenAI</w:t>
            </w:r>
          </w:p>
        </w:tc>
        <w:tc>
          <w:tcPr>
            <w:tcW w:type="dxa" w:w="2040"/>
          </w:tcPr>
          <w:p>
            <w:r/>
            <w:r>
              <w:rPr>
                <w:rFonts w:ascii="Arial" w:hAnsi="Arial"/>
                <w:b w:val="0"/>
                <w:sz w:val="18"/>
              </w:rPr>
              <w:t>Arbeitsstand</w:t>
            </w:r>
          </w:p>
        </w:tc>
        <w:tc>
          <w:tcPr>
            <w:tcW w:type="dxa" w:w="2040"/>
          </w:tcPr>
          <w:p>
            <w:r/>
            <w:r>
              <w:rPr>
                <w:rFonts w:ascii="Arial" w:hAnsi="Arial"/>
                <w:b w:val="0"/>
                <w:sz w:val="18"/>
              </w:rPr>
              <w:t>Feldzuordnung abgesichert und gezielte Skriptpfad-Migration ergänzt.</w:t>
            </w:r>
          </w:p>
        </w:tc>
      </w:tr>
    </w:tbl>
    <w:sectPr w:rsidR="00FC693F" w:rsidRPr="0006063C" w:rsidSect="00034616">
      <w:headerReference w:type="default" r:id="rId9"/>
      <w:footerReference w:type="default" r:id="rId10"/>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OpenMower-TAF-App - Änderungsdokumentation - 2026-07-14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OpenMower-TAF-App - GPS-Logging Skriptpfad-Feldzuordnung - v0.15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