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OpenMower-TAF-App - Dokumentation - Sensor-Einstellungen UI-Angleichung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F5FB"/>
          </w:tcPr>
          <w:p>
            <w:r/>
            <w:r>
              <w:rPr>
                <w:rFonts w:ascii="Arial" w:hAnsi="Arial"/>
                <w:b/>
                <w:sz w:val="18"/>
              </w:rPr>
              <w:t>Projekt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00"/>
            <w:shd w:fill="EEF5FB"/>
          </w:tcPr>
          <w:p>
            <w:r/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8"/>
              </w:rPr>
              <w:t>Dokumentation</w:t>
            </w:r>
          </w:p>
        </w:tc>
      </w:tr>
      <w:tr>
        <w:tc>
          <w:tcPr>
            <w:tcW w:type="dxa" w:w="5100"/>
            <w:shd w:fill="EEF5FB"/>
          </w:tcPr>
          <w:p>
            <w:r/>
            <w:r>
              <w:rPr>
                <w:rFonts w:ascii="Arial" w:hAnsi="Arial"/>
                <w:b/>
                <w:sz w:val="18"/>
              </w:rPr>
              <w:t>Thema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8"/>
              </w:rPr>
              <w:t>Sensor-Einstellungen UI-Angleichung an Softwareeinstellungen</w:t>
            </w:r>
          </w:p>
        </w:tc>
      </w:tr>
      <w:tr>
        <w:tc>
          <w:tcPr>
            <w:tcW w:type="dxa" w:w="5100"/>
            <w:shd w:fill="EEF5FB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8"/>
              </w:rPr>
              <w:t>v0.7</w:t>
            </w:r>
          </w:p>
        </w:tc>
      </w:tr>
      <w:tr>
        <w:tc>
          <w:tcPr>
            <w:tcW w:type="dxa" w:w="5100"/>
            <w:shd w:fill="EEF5FB"/>
          </w:tcPr>
          <w:p>
            <w:r/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8"/>
              </w:rPr>
              <w:t>2026-06-18</w:t>
            </w:r>
          </w:p>
        </w:tc>
      </w:tr>
      <w:tr>
        <w:tc>
          <w:tcPr>
            <w:tcW w:type="dxa" w:w="5100"/>
            <w:shd w:fill="EEF5FB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8"/>
              </w:rPr>
              <w:t>Entwurf</w:t>
            </w:r>
          </w:p>
        </w:tc>
      </w:tr>
      <w:tr>
        <w:tc>
          <w:tcPr>
            <w:tcW w:type="dxa" w:w="5100"/>
            <w:shd w:fill="EEF5FB"/>
          </w:tcPr>
          <w:p>
            <w:r/>
            <w:r>
              <w:rPr>
                <w:rFonts w:ascii="Arial" w:hAnsi="Arial"/>
                <w:b/>
                <w:sz w:val="18"/>
              </w:rPr>
              <w:t>Ablage/Artefakt</w:t>
            </w:r>
          </w:p>
        </w:tc>
        <w:tc>
          <w:tcPr>
            <w:tcW w:type="dxa" w:w="5100"/>
          </w:tcPr>
          <w:p>
            <w:r/>
            <w:r>
              <w:rPr>
                <w:rFonts w:ascii="Arial" w:hAnsi="Arial"/>
                <w:b w:val="0"/>
                <w:sz w:val="18"/>
              </w:rPr>
              <w:t>Codepaket und PDF/DOCX-Dokumentation</w:t>
            </w:r>
          </w:p>
        </w:tc>
      </w:tr>
    </w:tbl>
    <w:p/>
    <w:p>
      <w:pPr>
        <w:pStyle w:val="Heading1"/>
      </w:pPr>
      <w:r>
        <w:t>1. Ziel der Änderung</w:t>
      </w:r>
    </w:p>
    <w:p>
      <w:r>
        <w:t>Die Unterseite Sensor-Einstellungen wurde in Bedienung und Optik an die bestehende Seite Einstellungen Software angenähert. Ziel ist ein einheitliches Bedienmodell für dynamisch generierte Listen: Expertenmodus, Status-/Übersichtskarte, Gruppenkarten, einzelne Einstellungskarten, lokale Entwürfe, dauerhaftes Speichern und JSON-Diagnosebereich.</w:t>
      </w:r>
    </w:p>
    <w:p>
      <w:pPr>
        <w:pStyle w:val="Heading1"/>
      </w:pPr>
      <w:r>
        <w:t>2. Fachliche Abgrenzung</w:t>
      </w:r>
    </w:p>
    <w:p>
      <w:r>
        <w:t>Die Sensor-Einstellungen bearbeiten keine Live-Sensorwerte. Die Livewerte bleiben weiterhin readonly und werden über sensors/&lt;sensor_id&gt;/data empfangen. Die Seite bearbeitet ausschließlich Anzeige- und Strukturmetadaten der Sensoren.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Bereich</w:t>
            </w:r>
          </w:p>
        </w:tc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Softwareeinstellungen</w:t>
            </w:r>
          </w:p>
        </w:tc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Sensor-Einstellungen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Datenquelle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settings/mower_logic/json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sensors/settings/json oder sensors/settings/bson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Speichern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settings/mower_logic/set/persistent/json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sensors/settings/set/persistent/json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Validierung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settings/mower_logic/validation/json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sensors/settings/validation/json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Session-Anwendung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für unterstützte Werte möglich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sichtbar als deaktivierte Aktion; Sensorwerte sind readonly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Bearbeitete Inhalte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Parameterwerte und Metadaten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nur Metadaten: label, description, group, order, visible, expert</w:t>
            </w:r>
          </w:p>
        </w:tc>
      </w:tr>
    </w:tbl>
    <w:p/>
    <w:p>
      <w:pPr>
        <w:pStyle w:val="Heading1"/>
      </w:pPr>
      <w:r>
        <w:t>3. UI-Aufbau nach der Anpassung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UI-Bereich</w:t>
            </w:r>
          </w:p>
        </w:tc>
        <w:tc>
          <w:tcPr>
            <w:tcW w:type="dxa" w:w="51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Umsetzung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Expertenmodus-Karte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Die Seite startet wie die Softwareeinstellungen mit einer SwitchListTile-Karte für den Expertenmodus.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Übersichtskarte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Zeigt Metadaten, Entwürfe, ausgeblendete Sensoren, Expert-Sensoren und Sensoren ohne Livewert.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Statuskarte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Zeigt letzten Status, letztes Topic, Validierungshinweise und Fehler/Erfolg optisch markiert.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Gruppenkarten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ExpansionTile-Karten mit gleichem Hintergrund, Icon, Gruppentitel, Anzahl und lokalen Änderungen.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Sensor-Karten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Zweispaltiges Layout auf breiten Bildschirmen und gestapelte Darstellung auf mobilen Layouts.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JSON-Ansicht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Rohstatus aus sensors/settings/json mit Kopieren und Download.</w:t>
            </w:r>
          </w:p>
        </w:tc>
      </w:tr>
    </w:tbl>
    <w:p/>
    <w:p>
      <w:pPr>
        <w:pStyle w:val="Heading1"/>
      </w:pPr>
      <w:r>
        <w:t>4. Bearbeitbare Felder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JSON-Feld</w:t>
            </w:r>
          </w:p>
        </w:tc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Editor</w:t>
            </w:r>
          </w:p>
        </w:tc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Bemerkung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label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Textfeld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Anzeigename der Sensorkarte.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description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mehrzeiliges Textfeld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Beschreibung der Sensor-Metadaten.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group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Textfeld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Gruppierung wie bei den Softwareeinstellungen.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order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Zahlenfeld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Sortierung innerhalb der Gruppe.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visible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Switch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false blendet den Sensor in der Sensoransicht aus.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expert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Switch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true blendet den Sensor im Normalmodus aus.</w:t>
            </w:r>
          </w:p>
        </w:tc>
      </w:tr>
    </w:tbl>
    <w:p/>
    <w:p>
      <w:pPr>
        <w:pStyle w:val="Heading1"/>
      </w:pPr>
      <w:r>
        <w:t>5. MQTT-Kommunikation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Richtung</w:t>
            </w:r>
          </w:p>
        </w:tc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3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Zweck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Backend -&gt; App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sensors/settings/json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Status der Sensor-Metadaten im settings_v2-Aufbau.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Backend -&gt; App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sensors/settings/bson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BSON-kompatibler Status der Sensor-Metadaten.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App -&gt; Backend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sensors/settings/set/renew/json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Status neu anfordern.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App -&gt; Backend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sensors/settings/set/persistent/json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Geänderte Metadaten dauerhaft speichern.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Backend -&gt; App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sensors/settings/validation/json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Validierungsantwort zu persistenten Änderungen.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Backend -&gt; App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sensors/&lt;sensor_id&gt;/data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Livewert des Sensors; nicht durch die Sensor-Einstellungen bearbeitet.</w:t>
            </w:r>
          </w:p>
        </w:tc>
      </w:tr>
    </w:tbl>
    <w:p/>
    <w:p>
      <w:pPr/>
      <w:r>
        <w:t>Beispiel fuer einen persistenten Speichervorgang:</w:t>
      </w:r>
    </w:p>
    <w:p>
      <w:pPr/>
      <w:r>
        <w:rPr>
          <w:rFonts w:ascii="Courier New" w:hAnsi="Courier New"/>
          <w:sz w:val="16"/>
        </w:rPr>
        <w:t>{</w:t>
        <w:br/>
        <w:t xml:space="preserve">  "battery_voltage": {</w:t>
        <w:br/>
        <w:t xml:space="preserve">    "label": "Akkuspannung",</w:t>
        <w:br/>
        <w:t xml:space="preserve">    "description": "Batteriespannung des Mähers",</w:t>
        <w:br/>
        <w:t xml:space="preserve">    "group": "battery",</w:t>
        <w:br/>
        <w:t xml:space="preserve">    "order": 10,</w:t>
        <w:br/>
        <w:t xml:space="preserve">    "visible": true,</w:t>
        <w:br/>
        <w:t xml:space="preserve">    "expert": false</w:t>
        <w:br/>
        <w:t xml:space="preserve">  }</w:t>
        <w:br/>
        <w:t>}</w:t>
      </w:r>
    </w:p>
    <w:p>
      <w:pPr>
        <w:pStyle w:val="Heading1"/>
      </w:pPr>
      <w:r>
        <w:t>6.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Datei</w:t>
            </w:r>
          </w:p>
        </w:tc>
        <w:tc>
          <w:tcPr>
            <w:tcW w:type="dxa" w:w="51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Änderung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lib/screens/sensor_settings.dart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 an Softwareeinstellungen angeglichen; JSON-Ansicht, Badges, Gruppenaktionen und zweispaltige Karten ergänzt.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lib/io/mqtt_connection.dart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Verbliebene Legacy-Subscription sensor_infos/bson entfernt; sensors/settings bleibt die aktive Struktur.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docs/mqtt-schnittstelle.md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MQTT-Dokumentation auf sensors/settings/... aktualisiert.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docs/mqtt-schnittstelle_v1.0.md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Zusätzliche MQTT-Dokumentation auf sensors/settings/... aktualisiert.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README_Sensor_Settings_UI_Alignment.md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Kurze Entwicklernotiz zur UI-Angleichung ergänzt.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commit_message.txt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Englische Commit-Nachricht mit Dateiliste ergänzt.</w:t>
            </w:r>
          </w:p>
        </w:tc>
      </w:tr>
    </w:tbl>
    <w:p/>
    <w:p>
      <w:pPr>
        <w:pStyle w:val="Heading1"/>
      </w:pPr>
      <w:r>
        <w:t>7. Prüfung</w:t>
      </w:r>
    </w:p>
    <w:p>
      <w:r>
        <w:t>Die Dateien wurden strukturell geprüft. Ein echter Flutter-Build konnte in der Bearbeitungsumgebung nicht ausgeführt werden, weil Flutter/Dart dort nicht installiert ist. Die Änderung betrifft Quellcode, Dokumentation und MQTT-Subscription-Bereinigung.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55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255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55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Änderung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v0.7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2026-06-18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Entwurf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Sensor-Einstellungen optisch und funktional an Softwareeinstellungen angenähert.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Status: Entwurf | Datum: 2026-06-18 |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OpenMower-TAF-App - Sensor-Einstellungen UI-Angleichung - v0.7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