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PotensicProxy_TAF - Projektdokumentation</w:t>
        <w:br/>
        <w:t>Batterie- und Telemetrieanzeige</w:t>
      </w:r>
    </w:p>
    <w:p>
      <w:pPr>
        <w:jc w:val="center"/>
      </w:pPr>
      <w:r>
        <w:rPr>
          <w:b/>
        </w:rPr>
        <w:t>Version v1.0 | 2026-09-29</w:t>
      </w:r>
    </w:p>
    <w:tbl>
      <w:tblPr>
        <w:tblStyle w:val="TableGrid"/>
        <w:tblW w:type="auto" w:w="0"/>
        <w:jc w:val="center"/>
        <w:tblLook w:firstColumn="1" w:firstRow="1" w:lastColumn="0" w:lastRow="0" w:noHBand="0" w:noVBand="1" w:val="04A0"/>
      </w:tblPr>
      <w:tblGrid>
        <w:gridCol w:w="5043"/>
        <w:gridCol w:w="5043"/>
      </w:tblGrid>
      <w:tr>
        <w:tc>
          <w:tcPr>
            <w:tcW w:type="dxa" w:w="5043"/>
            <w:vAlign w:val="center"/>
            <w:shd w:fill="D9EAF7"/>
          </w:tcPr>
          <w:p>
            <w:r>
              <w:rPr>
                <w:b/>
              </w:rPr>
              <w:t>Projektname</w:t>
            </w:r>
          </w:p>
        </w:tc>
        <w:tc>
          <w:tcPr>
            <w:tcW w:type="dxa" w:w="5043"/>
            <w:vAlign w:val="center"/>
            <w:shd w:fill="D9EAF7"/>
          </w:tcPr>
          <w:p>
            <w:r>
              <w:t>PotensicProxy_TAF</w:t>
            </w:r>
          </w:p>
        </w:tc>
      </w:tr>
      <w:tr>
        <w:tc>
          <w:tcPr>
            <w:tcW w:type="dxa" w:w="5043"/>
            <w:vAlign w:val="center"/>
          </w:tcPr>
          <w:p>
            <w:r>
              <w:rPr>
                <w:b/>
              </w:rPr>
              <w:t>Dokumentenart</w:t>
            </w:r>
          </w:p>
        </w:tc>
        <w:tc>
          <w:tcPr>
            <w:tcW w:type="dxa" w:w="5043"/>
            <w:vAlign w:val="center"/>
          </w:tcPr>
          <w:p>
            <w:r>
              <w:t>Projektdokumentation</w:t>
            </w:r>
          </w:p>
        </w:tc>
      </w:tr>
      <w:tr>
        <w:tc>
          <w:tcPr>
            <w:tcW w:type="dxa" w:w="5043"/>
            <w:vAlign w:val="center"/>
          </w:tcPr>
          <w:p>
            <w:r>
              <w:rPr>
                <w:b/>
              </w:rPr>
              <w:t>Thema</w:t>
            </w:r>
          </w:p>
        </w:tc>
        <w:tc>
          <w:tcPr>
            <w:tcW w:type="dxa" w:w="5043"/>
            <w:vAlign w:val="center"/>
          </w:tcPr>
          <w:p>
            <w:r>
              <w:t>Batterie- und Telemetrieanzeige</w:t>
            </w:r>
          </w:p>
        </w:tc>
      </w:tr>
      <w:tr>
        <w:tc>
          <w:tcPr>
            <w:tcW w:type="dxa" w:w="5043"/>
            <w:vAlign w:val="center"/>
          </w:tcPr>
          <w:p>
            <w:r>
              <w:rPr>
                <w:b/>
              </w:rPr>
              <w:t>Erstellungsdatum</w:t>
            </w:r>
          </w:p>
        </w:tc>
        <w:tc>
          <w:tcPr>
            <w:tcW w:type="dxa" w:w="5043"/>
            <w:vAlign w:val="center"/>
          </w:tcPr>
          <w:p>
            <w:r>
              <w:t>2026-09-29</w:t>
            </w:r>
          </w:p>
        </w:tc>
      </w:tr>
      <w:tr>
        <w:tc>
          <w:tcPr>
            <w:tcW w:type="dxa" w:w="5043"/>
            <w:vAlign w:val="center"/>
          </w:tcPr>
          <w:p>
            <w:r>
              <w:rPr>
                <w:b/>
              </w:rPr>
              <w:t>Verantwortlich</w:t>
            </w:r>
          </w:p>
        </w:tc>
        <w:tc>
          <w:tcPr>
            <w:tcW w:type="dxa" w:w="5043"/>
            <w:vAlign w:val="center"/>
          </w:tcPr>
          <w:p>
            <w:r>
              <w:t>OpenAI - ChatGPT (technische Bearbeitung)</w:t>
            </w:r>
          </w:p>
        </w:tc>
      </w:tr>
      <w:tr>
        <w:tc>
          <w:tcPr>
            <w:tcW w:type="dxa" w:w="5043"/>
            <w:vAlign w:val="center"/>
          </w:tcPr>
          <w:p>
            <w:r>
              <w:rPr>
                <w:b/>
              </w:rPr>
              <w:t>Version</w:t>
            </w:r>
          </w:p>
        </w:tc>
        <w:tc>
          <w:tcPr>
            <w:tcW w:type="dxa" w:w="5043"/>
            <w:vAlign w:val="center"/>
          </w:tcPr>
          <w:p>
            <w:r>
              <w:t>v1.0</w:t>
            </w:r>
          </w:p>
        </w:tc>
      </w:tr>
      <w:tr>
        <w:tc>
          <w:tcPr>
            <w:tcW w:type="dxa" w:w="5043"/>
            <w:vAlign w:val="center"/>
          </w:tcPr>
          <w:p>
            <w:r>
              <w:rPr>
                <w:b/>
              </w:rPr>
              <w:t>Status</w:t>
            </w:r>
          </w:p>
        </w:tc>
        <w:tc>
          <w:tcPr>
            <w:tcW w:type="dxa" w:w="5043"/>
            <w:vAlign w:val="center"/>
          </w:tcPr>
          <w:p>
            <w:r>
              <w:t>Implementierter Arbeitsstand; Produktionsbuild in dieser Umgebung eingeschränkt</w:t>
            </w:r>
          </w:p>
        </w:tc>
      </w:tr>
      <w:tr>
        <w:tc>
          <w:tcPr>
            <w:tcW w:type="dxa" w:w="5043"/>
            <w:vAlign w:val="center"/>
          </w:tcPr>
          <w:p>
            <w:r>
              <w:rPr>
                <w:b/>
              </w:rPr>
              <w:t>Ablageort</w:t>
            </w:r>
          </w:p>
        </w:tc>
        <w:tc>
          <w:tcPr>
            <w:tcW w:type="dxa" w:w="5043"/>
            <w:vAlign w:val="center"/>
          </w:tcPr>
          <w:p>
            <w:r>
              <w:t>Projektordner DOCUMENTATION/ sowie separate Auslieferung</w:t>
            </w:r>
          </w:p>
        </w:tc>
      </w:tr>
      <w:tr>
        <w:tc>
          <w:tcPr>
            <w:tcW w:type="dxa" w:w="5043"/>
            <w:vAlign w:val="center"/>
          </w:tcPr>
          <w:p>
            <w:r>
              <w:rPr>
                <w:b/>
              </w:rPr>
              <w:t>Referenzen</w:t>
            </w:r>
          </w:p>
        </w:tc>
        <w:tc>
          <w:tcPr>
            <w:tcW w:type="dxa" w:w="5043"/>
            <w:vAlign w:val="center"/>
          </w:tcPr>
          <w:p>
            <w:r>
              <w:t>PotensicPro-App-Code; Projektregeln Projektdokumentation; PotensicProxy_TAF v0.952</w:t>
            </w:r>
          </w:p>
        </w:tc>
      </w:tr>
    </w:tbl>
    <w:p>
      <w:pPr>
        <w:pStyle w:val="Heading1"/>
      </w:pPr>
      <w:r>
        <w:t>1. Ziel und Umfang</w:t>
      </w:r>
    </w:p>
    <w:p>
      <w:r>
        <w:t>Die Änderung übernimmt die zuvor am PotensicPro-Code bestätigte Batterielogik und korrigiert die Cockpit-Höhenanzeige. Zusätzlich wird ein ausklappbarer Telemetrie-Bereich ergänzt, damit technische Zusatzwerte sichtbar bleiben, ohne die Hauptanzeige zu überladen.</w:t>
      </w:r>
    </w:p>
    <w:p>
      <w:pPr>
        <w:pStyle w:val="Heading1"/>
      </w:pPr>
      <w:r>
        <w:t>2. Verbindliche Batterielogik</w:t>
      </w:r>
    </w:p>
    <w:p>
      <w:r>
        <w:t>Für die Drohnenbatterie wird der von der Drohne gelieferte Wert remainedBattery direkt als Prozentwert verwendet. Es findet keine Umrechnung der Batteriespannung in Prozent statt. Ungültige bzw. noch nicht empfangene Werte werden als unbekannt behandelt und nicht als 0 % ausgegeben.</w:t>
      </w:r>
    </w:p>
    <w:tbl>
      <w:tblPr>
        <w:tblStyle w:val="TableGrid"/>
        <w:tblW w:type="auto" w:w="0"/>
        <w:jc w:val="center"/>
        <w:tblLook w:firstColumn="1" w:firstRow="1" w:lastColumn="0" w:lastRow="0" w:noHBand="0" w:noVBand="1" w:val="04A0"/>
      </w:tblPr>
      <w:tblGrid>
        <w:gridCol w:w="3362"/>
        <w:gridCol w:w="3362"/>
        <w:gridCol w:w="3362"/>
      </w:tblGrid>
      <w:tr>
        <w:tc>
          <w:tcPr>
            <w:tcW w:type="dxa" w:w="3362"/>
            <w:shd w:fill="D9EAF7"/>
          </w:tcPr>
          <w:p>
            <w:r>
              <w:rPr>
                <w:b/>
              </w:rPr>
              <w:t>Punkt</w:t>
            </w:r>
          </w:p>
        </w:tc>
        <w:tc>
          <w:tcPr>
            <w:tcW w:type="dxa" w:w="3362"/>
            <w:shd w:fill="D9EAF7"/>
          </w:tcPr>
          <w:p>
            <w:r>
              <w:rPr>
                <w:b/>
              </w:rPr>
              <w:t>Wert / Quelle</w:t>
            </w:r>
          </w:p>
        </w:tc>
        <w:tc>
          <w:tcPr>
            <w:tcW w:type="dxa" w:w="3362"/>
            <w:shd w:fill="D9EAF7"/>
          </w:tcPr>
          <w:p>
            <w:r>
              <w:rPr>
                <w:b/>
              </w:rPr>
              <w:t>Umsetzung</w:t>
            </w:r>
          </w:p>
        </w:tc>
      </w:tr>
      <w:tr>
        <w:tc>
          <w:tcPr>
            <w:tcW w:type="dxa" w:w="3362"/>
          </w:tcPr>
          <w:p>
            <w:r>
              <w:t>Quelle Drohnenakku</w:t>
            </w:r>
          </w:p>
        </w:tc>
        <w:tc>
          <w:tcPr>
            <w:tcW w:type="dxa" w:w="3362"/>
          </w:tcPr>
          <w:p>
            <w:r>
              <w:t>Flight Info / remainedBattery</w:t>
            </w:r>
          </w:p>
        </w:tc>
        <w:tc>
          <w:tcPr>
            <w:tcW w:type="dxa" w:w="3362"/>
          </w:tcPr>
          <w:p>
            <w:r>
              <w:t>Direkter 0-100-%-Wert der Drohne</w:t>
            </w:r>
          </w:p>
        </w:tc>
      </w:tr>
      <w:tr>
        <w:tc>
          <w:tcPr>
            <w:tcW w:type="dxa" w:w="3362"/>
          </w:tcPr>
          <w:p>
            <w:r>
              <w:t>Normalbereich</w:t>
            </w:r>
          </w:p>
        </w:tc>
        <w:tc>
          <w:tcPr>
            <w:tcW w:type="dxa" w:w="3362"/>
          </w:tcPr>
          <w:p>
            <w:r>
              <w:t>&gt; 20 %</w:t>
            </w:r>
          </w:p>
        </w:tc>
        <w:tc>
          <w:tcPr>
            <w:tcW w:type="dxa" w:w="3362"/>
          </w:tcPr>
          <w:p>
            <w:r>
              <w:t>Grüne Anzeige entsprechend PotensicPro</w:t>
            </w:r>
          </w:p>
        </w:tc>
      </w:tr>
      <w:tr>
        <w:tc>
          <w:tcPr>
            <w:tcW w:type="dxa" w:w="3362"/>
          </w:tcPr>
          <w:p>
            <w:r>
              <w:t>Niedrigakku</w:t>
            </w:r>
          </w:p>
        </w:tc>
        <w:tc>
          <w:tcPr>
            <w:tcW w:type="dxa" w:w="3362"/>
          </w:tcPr>
          <w:p>
            <w:r>
              <w:t>&lt;= 20 %</w:t>
            </w:r>
          </w:p>
        </w:tc>
        <w:tc>
          <w:tcPr>
            <w:tcW w:type="dxa" w:w="3362"/>
          </w:tcPr>
          <w:p>
            <w:r>
              <w:t>Rote Anzeige entsprechend PotensicPro</w:t>
            </w:r>
          </w:p>
        </w:tc>
      </w:tr>
      <w:tr>
        <w:tc>
          <w:tcPr>
            <w:tcW w:type="dxa" w:w="3362"/>
          </w:tcPr>
          <w:p>
            <w:r>
              <w:t>Startwarnung Original-App</w:t>
            </w:r>
          </w:p>
        </w:tc>
        <w:tc>
          <w:tcPr>
            <w:tcW w:type="dxa" w:w="3362"/>
          </w:tcPr>
          <w:p>
            <w:r>
              <w:t>&lt; 20 %</w:t>
            </w:r>
          </w:p>
        </w:tc>
        <w:tc>
          <w:tcPr>
            <w:tcW w:type="dxa" w:w="3362"/>
          </w:tcPr>
          <w:p>
            <w:r>
              <w:t>Original-App fordert besondere Bestätigung / Force-Takeoff-Dialog</w:t>
            </w:r>
          </w:p>
        </w:tc>
      </w:tr>
      <w:tr>
        <w:tc>
          <w:tcPr>
            <w:tcW w:type="dxa" w:w="3362"/>
          </w:tcPr>
          <w:p>
            <w:r>
              <w:t>Kritische Original-App-Schwelle</w:t>
            </w:r>
          </w:p>
        </w:tc>
        <w:tc>
          <w:tcPr>
            <w:tcW w:type="dxa" w:w="3362"/>
          </w:tcPr>
          <w:p>
            <w:r>
              <w:t>&lt; 5 %</w:t>
            </w:r>
          </w:p>
        </w:tc>
        <w:tc>
          <w:tcPr>
            <w:tcW w:type="dxa" w:w="3362"/>
          </w:tcPr>
          <w:p>
            <w:r>
              <w:t>Original-App sendet keinen Startbefehl</w:t>
            </w:r>
          </w:p>
        </w:tc>
      </w:tr>
      <w:tr>
        <w:tc>
          <w:tcPr>
            <w:tcW w:type="dxa" w:w="3362"/>
          </w:tcPr>
          <w:p>
            <w:r>
              <w:t>Spannung</w:t>
            </w:r>
          </w:p>
        </w:tc>
        <w:tc>
          <w:tcPr>
            <w:tcW w:type="dxa" w:w="3362"/>
          </w:tcPr>
          <w:p>
            <w:r>
              <w:t>separater Telemetriewert</w:t>
            </w:r>
          </w:p>
        </w:tc>
        <w:tc>
          <w:tcPr>
            <w:tcW w:type="dxa" w:w="3362"/>
          </w:tcPr>
          <w:p>
            <w:r>
              <w:t>Nur technische Zusatzinformation; keine Prozentableitung</w:t>
            </w:r>
          </w:p>
        </w:tc>
      </w:tr>
    </w:tbl>
    <w:p>
      <w:r>
        <w:t>Die grün/rot-Farblogik wird auf die drei Batterieanzeigen im Cockpit angewendet, sobald für die jeweilige Anzeige ein echter Prozentwert vorliegt. Bei der Controlleranzeige bleibt die Spannung als neutraler Fallback erhalten, wenn kein bestätigter Prozentwert verfügbar ist.</w:t>
      </w:r>
    </w:p>
    <w:p>
      <w:pPr>
        <w:pStyle w:val="Heading1"/>
      </w:pPr>
      <w:r>
        <w:t>3. Höhen- und Telemetrielogik</w:t>
      </w:r>
    </w:p>
    <w:p>
      <w:r>
        <w:t>Die sichtbare Cockpit-Höhe entspricht jetzt der Original-App: Height/Höhe = verticalDistance. Das separate altitude-Feld wird nicht mehr als Ersatz für die relative Cockpit-Höhe verwendet. Dadurch kann ein technisch anderes oder falsch interpretierbares altitude-Feld die normale Höhenanzeige nicht mehr überschreiben.</w:t>
      </w:r>
    </w:p>
    <w:tbl>
      <w:tblPr>
        <w:tblStyle w:val="TableGrid"/>
        <w:tblW w:type="auto" w:w="0"/>
        <w:jc w:val="center"/>
        <w:tblLook w:firstColumn="1" w:firstRow="1" w:lastColumn="0" w:lastRow="0" w:noHBand="0" w:noVBand="1" w:val="04A0"/>
      </w:tblPr>
      <w:tblGrid>
        <w:gridCol w:w="3362"/>
        <w:gridCol w:w="3362"/>
        <w:gridCol w:w="3362"/>
      </w:tblGrid>
      <w:tr>
        <w:tc>
          <w:tcPr>
            <w:tcW w:type="dxa" w:w="3362"/>
            <w:shd w:fill="D9EAF7"/>
          </w:tcPr>
          <w:p>
            <w:r>
              <w:rPr>
                <w:b/>
              </w:rPr>
              <w:t>Feld</w:t>
            </w:r>
          </w:p>
        </w:tc>
        <w:tc>
          <w:tcPr>
            <w:tcW w:type="dxa" w:w="3362"/>
            <w:shd w:fill="D9EAF7"/>
          </w:tcPr>
          <w:p>
            <w:r>
              <w:rPr>
                <w:b/>
              </w:rPr>
              <w:t>Bedeutung</w:t>
            </w:r>
          </w:p>
        </w:tc>
        <w:tc>
          <w:tcPr>
            <w:tcW w:type="dxa" w:w="3362"/>
            <w:shd w:fill="D9EAF7"/>
          </w:tcPr>
          <w:p>
            <w:r>
              <w:rPr>
                <w:b/>
              </w:rPr>
              <w:t>Darstellung</w:t>
            </w:r>
          </w:p>
        </w:tc>
      </w:tr>
      <w:tr>
        <w:tc>
          <w:tcPr>
            <w:tcW w:type="dxa" w:w="3362"/>
          </w:tcPr>
          <w:p>
            <w:r>
              <w:t>verticalDistance</w:t>
            </w:r>
          </w:p>
        </w:tc>
        <w:tc>
          <w:tcPr>
            <w:tcW w:type="dxa" w:w="3362"/>
          </w:tcPr>
          <w:p>
            <w:r>
              <w:t>Relative Flughöhe</w:t>
            </w:r>
          </w:p>
        </w:tc>
        <w:tc>
          <w:tcPr>
            <w:tcW w:type="dxa" w:w="3362"/>
          </w:tcPr>
          <w:p>
            <w:r>
              <w:t>Hauptanzeige „Höhe“ im Cockpit</w:t>
            </w:r>
          </w:p>
        </w:tc>
      </w:tr>
      <w:tr>
        <w:tc>
          <w:tcPr>
            <w:tcW w:type="dxa" w:w="3362"/>
          </w:tcPr>
          <w:p>
            <w:r>
              <w:t>altitude</w:t>
            </w:r>
          </w:p>
        </w:tc>
        <w:tc>
          <w:tcPr>
            <w:tcW w:type="dxa" w:w="3362"/>
          </w:tcPr>
          <w:p>
            <w:r>
              <w:t>Separates Höhen-/Altitude-Feld</w:t>
            </w:r>
          </w:p>
        </w:tc>
        <w:tc>
          <w:tcPr>
            <w:tcW w:type="dxa" w:w="3362"/>
          </w:tcPr>
          <w:p>
            <w:r>
              <w:t>Nur Telemetrie-Details</w:t>
            </w:r>
          </w:p>
        </w:tc>
      </w:tr>
      <w:tr>
        <w:tc>
          <w:tcPr>
            <w:tcW w:type="dxa" w:w="3362"/>
          </w:tcPr>
          <w:p>
            <w:r>
              <w:t>tofHeight</w:t>
            </w:r>
          </w:p>
        </w:tc>
        <w:tc>
          <w:tcPr>
            <w:tcW w:type="dxa" w:w="3362"/>
          </w:tcPr>
          <w:p>
            <w:r>
              <w:t>TOF-/Bodenabstands-Rohwert</w:t>
            </w:r>
          </w:p>
        </w:tc>
        <w:tc>
          <w:tcPr>
            <w:tcW w:type="dxa" w:w="3362"/>
          </w:tcPr>
          <w:p>
            <w:r>
              <w:t>Nur Telemetrie-Details</w:t>
            </w:r>
          </w:p>
        </w:tc>
      </w:tr>
      <w:tr>
        <w:tc>
          <w:tcPr>
            <w:tcW w:type="dxa" w:w="3362"/>
          </w:tcPr>
          <w:p>
            <w:r>
              <w:t>horizontalDistance</w:t>
            </w:r>
          </w:p>
        </w:tc>
        <w:tc>
          <w:tcPr>
            <w:tcW w:type="dxa" w:w="3362"/>
          </w:tcPr>
          <w:p>
            <w:r>
              <w:t>Horizontale Entfernung</w:t>
            </w:r>
          </w:p>
        </w:tc>
        <w:tc>
          <w:tcPr>
            <w:tcW w:type="dxa" w:w="3362"/>
          </w:tcPr>
          <w:p>
            <w:r>
              <w:t>Telemetrie-Details und bestehende Statusanzeige</w:t>
            </w:r>
          </w:p>
        </w:tc>
      </w:tr>
      <w:tr>
        <w:tc>
          <w:tcPr>
            <w:tcW w:type="dxa" w:w="3362"/>
          </w:tcPr>
          <w:p>
            <w:r>
              <w:t>horizontalSpeed / verticalSpeed</w:t>
            </w:r>
          </w:p>
        </w:tc>
        <w:tc>
          <w:tcPr>
            <w:tcW w:type="dxa" w:w="3362"/>
          </w:tcPr>
          <w:p>
            <w:r>
              <w:t>Geschwindigkeit</w:t>
            </w:r>
          </w:p>
        </w:tc>
        <w:tc>
          <w:tcPr>
            <w:tcW w:type="dxa" w:w="3362"/>
          </w:tcPr>
          <w:p>
            <w:r>
              <w:t>Telemetrie-Details und bestehende Statusanzeige</w:t>
            </w:r>
          </w:p>
        </w:tc>
      </w:tr>
    </w:tbl>
    <w:p>
      <w:pPr>
        <w:pStyle w:val="Heading1"/>
      </w:pPr>
      <w:r>
        <w:t>4. Parser-Korrektur für ATOM Flight Info</w:t>
      </w:r>
    </w:p>
    <w:p>
      <w:r>
        <w:t>Der PotensicPro-Parser verschiebt bei der langen Flight-Info-Struktur nach dem 32-Bit-Feld horizontalDistance seinen internen Basisindex um zwei Bytes. Diese Verschiebung wird nun auch in TAF berücksichtigt. Dadurch liegen insbesondere verticalDistance und remainedBattery bei der langen Struktur an den korrekten effektiven Offsets +19 bzw. +25.</w:t>
      </w:r>
    </w:p>
    <w:tbl>
      <w:tblPr>
        <w:tblStyle w:val="TableGrid"/>
        <w:tblW w:type="auto" w:w="0"/>
        <w:jc w:val="center"/>
        <w:tblLook w:firstColumn="1" w:firstRow="1" w:lastColumn="0" w:lastRow="0" w:noHBand="0" w:noVBand="1" w:val="04A0"/>
      </w:tblPr>
      <w:tblGrid>
        <w:gridCol w:w="3362"/>
        <w:gridCol w:w="3362"/>
        <w:gridCol w:w="3362"/>
      </w:tblGrid>
      <w:tr>
        <w:tc>
          <w:tcPr>
            <w:tcW w:type="dxa" w:w="3362"/>
            <w:shd w:fill="D9EAF7"/>
          </w:tcPr>
          <w:p>
            <w:r>
              <w:rPr>
                <w:b/>
              </w:rPr>
              <w:t>Effektiver Offset (lang)</w:t>
            </w:r>
          </w:p>
        </w:tc>
        <w:tc>
          <w:tcPr>
            <w:tcW w:type="dxa" w:w="3362"/>
            <w:shd w:fill="D9EAF7"/>
          </w:tcPr>
          <w:p>
            <w:r>
              <w:rPr>
                <w:b/>
              </w:rPr>
              <w:t>Typ / Skalierung</w:t>
            </w:r>
          </w:p>
        </w:tc>
        <w:tc>
          <w:tcPr>
            <w:tcW w:type="dxa" w:w="3362"/>
            <w:shd w:fill="D9EAF7"/>
          </w:tcPr>
          <w:p>
            <w:r>
              <w:rPr>
                <w:b/>
              </w:rPr>
              <w:t>Feld</w:t>
            </w:r>
          </w:p>
        </w:tc>
      </w:tr>
      <w:tr>
        <w:tc>
          <w:tcPr>
            <w:tcW w:type="dxa" w:w="3362"/>
          </w:tcPr>
          <w:p>
            <w:r>
              <w:t>+15</w:t>
            </w:r>
          </w:p>
        </w:tc>
        <w:tc>
          <w:tcPr>
            <w:tcW w:type="dxa" w:w="3362"/>
          </w:tcPr>
          <w:p>
            <w:r>
              <w:t>int32 LE /10</w:t>
            </w:r>
          </w:p>
        </w:tc>
        <w:tc>
          <w:tcPr>
            <w:tcW w:type="dxa" w:w="3362"/>
          </w:tcPr>
          <w:p>
            <w:r>
              <w:t>horizontalDistance</w:t>
            </w:r>
          </w:p>
        </w:tc>
      </w:tr>
      <w:tr>
        <w:tc>
          <w:tcPr>
            <w:tcW w:type="dxa" w:w="3362"/>
          </w:tcPr>
          <w:p>
            <w:r>
              <w:t>+19</w:t>
            </w:r>
          </w:p>
        </w:tc>
        <w:tc>
          <w:tcPr>
            <w:tcW w:type="dxa" w:w="3362"/>
          </w:tcPr>
          <w:p>
            <w:r>
              <w:t>int16 LE /10</w:t>
            </w:r>
          </w:p>
        </w:tc>
        <w:tc>
          <w:tcPr>
            <w:tcW w:type="dxa" w:w="3362"/>
          </w:tcPr>
          <w:p>
            <w:r>
              <w:t>verticalDistance</w:t>
            </w:r>
          </w:p>
        </w:tc>
      </w:tr>
      <w:tr>
        <w:tc>
          <w:tcPr>
            <w:tcW w:type="dxa" w:w="3362"/>
          </w:tcPr>
          <w:p>
            <w:r>
              <w:t>+21</w:t>
            </w:r>
          </w:p>
        </w:tc>
        <w:tc>
          <w:tcPr>
            <w:tcW w:type="dxa" w:w="3362"/>
          </w:tcPr>
          <w:p>
            <w:r>
              <w:t>uint16 LE /10</w:t>
            </w:r>
          </w:p>
        </w:tc>
        <w:tc>
          <w:tcPr>
            <w:tcW w:type="dxa" w:w="3362"/>
          </w:tcPr>
          <w:p>
            <w:r>
              <w:t>horizontalSpeed</w:t>
            </w:r>
          </w:p>
        </w:tc>
      </w:tr>
      <w:tr>
        <w:tc>
          <w:tcPr>
            <w:tcW w:type="dxa" w:w="3362"/>
          </w:tcPr>
          <w:p>
            <w:r>
              <w:t>+23</w:t>
            </w:r>
          </w:p>
        </w:tc>
        <w:tc>
          <w:tcPr>
            <w:tcW w:type="dxa" w:w="3362"/>
          </w:tcPr>
          <w:p>
            <w:r>
              <w:t>int16 LE /10</w:t>
            </w:r>
          </w:p>
        </w:tc>
        <w:tc>
          <w:tcPr>
            <w:tcW w:type="dxa" w:w="3362"/>
          </w:tcPr>
          <w:p>
            <w:r>
              <w:t>verticalSpeed</w:t>
            </w:r>
          </w:p>
        </w:tc>
      </w:tr>
      <w:tr>
        <w:tc>
          <w:tcPr>
            <w:tcW w:type="dxa" w:w="3362"/>
          </w:tcPr>
          <w:p>
            <w:r>
              <w:t>+25</w:t>
            </w:r>
          </w:p>
        </w:tc>
        <w:tc>
          <w:tcPr>
            <w:tcW w:type="dxa" w:w="3362"/>
          </w:tcPr>
          <w:p>
            <w:r>
              <w:t>uint8</w:t>
            </w:r>
          </w:p>
        </w:tc>
        <w:tc>
          <w:tcPr>
            <w:tcW w:type="dxa" w:w="3362"/>
          </w:tcPr>
          <w:p>
            <w:r>
              <w:t>remainedBattery (0-100 %)</w:t>
            </w:r>
          </w:p>
        </w:tc>
      </w:tr>
      <w:tr>
        <w:tc>
          <w:tcPr>
            <w:tcW w:type="dxa" w:w="3362"/>
          </w:tcPr>
          <w:p>
            <w:r>
              <w:t>+45</w:t>
            </w:r>
          </w:p>
        </w:tc>
        <w:tc>
          <w:tcPr>
            <w:tcW w:type="dxa" w:w="3362"/>
          </w:tcPr>
          <w:p>
            <w:r>
              <w:t>int32 LE /1000</w:t>
            </w:r>
          </w:p>
        </w:tc>
        <w:tc>
          <w:tcPr>
            <w:tcW w:type="dxa" w:w="3362"/>
          </w:tcPr>
          <w:p>
            <w:r>
              <w:t>separates altitude-Feld</w:t>
            </w:r>
          </w:p>
        </w:tc>
      </w:tr>
      <w:tr>
        <w:tc>
          <w:tcPr>
            <w:tcW w:type="dxa" w:w="3362"/>
          </w:tcPr>
          <w:p>
            <w:r>
              <w:t>+49</w:t>
            </w:r>
          </w:p>
        </w:tc>
        <w:tc>
          <w:tcPr>
            <w:tcW w:type="dxa" w:w="3362"/>
          </w:tcPr>
          <w:p>
            <w:r>
              <w:t>int8</w:t>
            </w:r>
          </w:p>
        </w:tc>
        <w:tc>
          <w:tcPr>
            <w:tcW w:type="dxa" w:w="3362"/>
          </w:tcPr>
          <w:p>
            <w:r>
              <w:t>tofHeight</w:t>
            </w:r>
          </w:p>
        </w:tc>
      </w:tr>
    </w:tbl>
    <w:p>
      <w:pPr>
        <w:pStyle w:val="Heading1"/>
      </w:pPr>
      <w:r>
        <w:t>5. WebUI-Änderungen</w:t>
      </w:r>
    </w:p>
    <w:p>
      <w:pPr>
        <w:pStyle w:val="ListBullet"/>
      </w:pPr>
      <w:r>
        <w:t>Die Drohnenbatterie zeigt nur einen gültigen 0-100-%-Wert; bis zum ersten gültigen Wert wird „--“ angezeigt.</w:t>
      </w:r>
    </w:p>
    <w:p>
      <w:pPr>
        <w:pStyle w:val="ListBullet"/>
      </w:pPr>
      <w:r>
        <w:t>Die drei Batterieanzeigen erhalten die Potensic-Farblogik: grün &gt; 20 %, rot &lt;= 20 %. Ohne Prozentwert bleibt die Anzeige neutral.</w:t>
      </w:r>
    </w:p>
    <w:p>
      <w:pPr>
        <w:pStyle w:val="ListBullet"/>
      </w:pPr>
      <w:r>
        <w:t>Die Cockpit-Höhe verwendet ausschließlich verticalDistance.</w:t>
      </w:r>
    </w:p>
    <w:p>
      <w:pPr>
        <w:pStyle w:val="ListBullet"/>
      </w:pPr>
      <w:r>
        <w:t>Unterhalb des Camera-Bereichs wurde ein ausklappbarer Bereich „Telemetrie“ ergänzt. Er zeigt relative Höhe, separates altitude-Feld, TOF, Entfernungen, Geschwindigkeiten, Satelliten, Lagewerte und Spannungen.</w:t>
      </w:r>
    </w:p>
    <w:p>
      <w:pPr>
        <w:pStyle w:val="ListBullet"/>
      </w:pPr>
      <w:r>
        <w:t>Der Camera-Control-Bereich bleibt direkt unter Joystick Control; die bereits eingeführte Reihenfolge wird nicht verändert.</w:t>
      </w:r>
    </w:p>
    <w:p>
      <w:pPr>
        <w:pStyle w:val="Heading1"/>
      </w:pPr>
      <w:r>
        <w:t>6. Geänderte Dateien</w:t>
      </w:r>
    </w:p>
    <w:p>
      <w:pPr>
        <w:pStyle w:val="ListBullet"/>
      </w:pPr>
      <w:r>
        <w:t>app/build.gradle.kts</w:t>
      </w:r>
    </w:p>
    <w:p>
      <w:pPr>
        <w:pStyle w:val="ListBullet"/>
      </w:pPr>
      <w:r>
        <w:t>webui/package.json</w:t>
      </w:r>
    </w:p>
    <w:p>
      <w:pPr>
        <w:pStyle w:val="ListBullet"/>
      </w:pPr>
      <w:r>
        <w:t>webui/package-lock.json</w:t>
      </w:r>
    </w:p>
    <w:p>
      <w:pPr>
        <w:pStyle w:val="ListBullet"/>
      </w:pPr>
      <w:r>
        <w:t>app/src/main/java/com/potensic/proxy/Telemetry.kt</w:t>
      </w:r>
    </w:p>
    <w:p>
      <w:pPr>
        <w:pStyle w:val="ListBullet"/>
      </w:pPr>
      <w:r>
        <w:t>webui/src/types/drone.ts</w:t>
      </w:r>
    </w:p>
    <w:p>
      <w:pPr>
        <w:pStyle w:val="ListBullet"/>
      </w:pPr>
      <w:r>
        <w:t>webui/src/stores/useDroneStore.ts</w:t>
      </w:r>
    </w:p>
    <w:p>
      <w:pPr>
        <w:pStyle w:val="ListBullet"/>
      </w:pPr>
      <w:r>
        <w:t>webui/src/protocol/PacketParser.ts</w:t>
      </w:r>
    </w:p>
    <w:p>
      <w:pPr>
        <w:pStyle w:val="ListBullet"/>
      </w:pPr>
      <w:r>
        <w:t>webui/src/components/cockpit/TelemetryBar.vue</w:t>
      </w:r>
    </w:p>
    <w:p>
      <w:pPr>
        <w:pStyle w:val="ListBullet"/>
      </w:pPr>
      <w:r>
        <w:t>webui/src/components/cockpit/TelemetryDetails.vue</w:t>
      </w:r>
    </w:p>
    <w:p>
      <w:pPr>
        <w:pStyle w:val="ListBullet"/>
      </w:pPr>
      <w:r>
        <w:t>webui/src/components/cockpit/CockpitView.vue</w:t>
      </w:r>
    </w:p>
    <w:p>
      <w:pPr>
        <w:pStyle w:val="ListBullet"/>
      </w:pPr>
      <w:r>
        <w:t>PROTOCOL.md</w:t>
      </w:r>
    </w:p>
    <w:p>
      <w:pPr>
        <w:pStyle w:val="ListBullet"/>
      </w:pPr>
      <w:r>
        <w:t>README.md</w:t>
      </w:r>
    </w:p>
    <w:p>
      <w:pPr>
        <w:pStyle w:val="Heading1"/>
      </w:pPr>
      <w:r>
        <w:t>7. Prüfung und Buildstatus</w:t>
      </w:r>
    </w:p>
    <w:p>
      <w:r>
        <w:t>Die Vue-/TypeScript-Prüfung mit vue-tsc --noEmit wurde erfolgreich ausgeführt. Der Vite-Produktionsbuild kann in der vorhandenen Linux-Arbeitsumgebung weiterhin nicht gestartet werden, weil das mitgelieferte node_modules nur die vorherige Plattformbelegung enthält und @rollup/rollup-linux-x64-gnu fehlt. Dieser Fehler tritt nach der erfolgreichen TypeScript-Prüfung beim Laden des nativen Rollup-Moduls auf und ist kein festgestellter Fehler der hier geänderten Vue-/TypeScript-Quellen.</w:t>
      </w:r>
    </w:p>
    <w:p>
      <w:r>
        <w:t>Projektversion nach der Änderung: 0.953, Android versionCode 26.</w:t>
      </w:r>
    </w:p>
    <w:p>
      <w:pPr>
        <w:pStyle w:val="Heading1"/>
      </w:pPr>
      <w:r>
        <w:t>8. Änderungshistorie</w:t>
      </w:r>
    </w:p>
    <w:tbl>
      <w:tblPr>
        <w:tblStyle w:val="TableGrid"/>
        <w:tblW w:type="auto" w:w="0"/>
        <w:jc w:val="center"/>
        <w:tblLook w:firstColumn="1" w:firstRow="1" w:lastColumn="0" w:lastRow="0" w:noHBand="0" w:noVBand="1" w:val="04A0"/>
      </w:tblPr>
      <w:tblGrid>
        <w:gridCol w:w="2017"/>
        <w:gridCol w:w="2017"/>
        <w:gridCol w:w="2017"/>
        <w:gridCol w:w="2017"/>
        <w:gridCol w:w="2017"/>
      </w:tblGrid>
      <w:tr>
        <w:tc>
          <w:tcPr>
            <w:tcW w:type="dxa" w:w="2017"/>
            <w:shd w:fill="D9EAF7"/>
          </w:tcPr>
          <w:p>
            <w:r>
              <w:rPr>
                <w:b/>
              </w:rPr>
              <w:t>Version</w:t>
            </w:r>
          </w:p>
        </w:tc>
        <w:tc>
          <w:tcPr>
            <w:tcW w:type="dxa" w:w="2017"/>
            <w:shd w:fill="D9EAF7"/>
          </w:tcPr>
          <w:p>
            <w:r>
              <w:rPr>
                <w:b/>
              </w:rPr>
              <w:t>Datum</w:t>
            </w:r>
          </w:p>
        </w:tc>
        <w:tc>
          <w:tcPr>
            <w:tcW w:type="dxa" w:w="2017"/>
            <w:shd w:fill="D9EAF7"/>
          </w:tcPr>
          <w:p>
            <w:r>
              <w:rPr>
                <w:b/>
              </w:rPr>
              <w:t>Bearbeiter</w:t>
            </w:r>
          </w:p>
        </w:tc>
        <w:tc>
          <w:tcPr>
            <w:tcW w:type="dxa" w:w="2017"/>
            <w:shd w:fill="D9EAF7"/>
          </w:tcPr>
          <w:p>
            <w:r>
              <w:rPr>
                <w:b/>
              </w:rPr>
              <w:t>Status</w:t>
            </w:r>
          </w:p>
        </w:tc>
        <w:tc>
          <w:tcPr>
            <w:tcW w:type="dxa" w:w="2017"/>
            <w:shd w:fill="D9EAF7"/>
          </w:tcPr>
          <w:p>
            <w:r>
              <w:rPr>
                <w:b/>
              </w:rPr>
              <w:t>Änderung</w:t>
            </w:r>
          </w:p>
        </w:tc>
      </w:tr>
      <w:tr>
        <w:tc>
          <w:tcPr>
            <w:tcW w:type="dxa" w:w="2017"/>
          </w:tcPr>
          <w:p>
            <w:r>
              <w:t>v1.0</w:t>
            </w:r>
          </w:p>
        </w:tc>
        <w:tc>
          <w:tcPr>
            <w:tcW w:type="dxa" w:w="2017"/>
          </w:tcPr>
          <w:p>
            <w:r>
              <w:t>2026-09-29</w:t>
            </w:r>
          </w:p>
        </w:tc>
        <w:tc>
          <w:tcPr>
            <w:tcW w:type="dxa" w:w="2017"/>
          </w:tcPr>
          <w:p>
            <w:r>
              <w:t>OpenAI - ChatGPT</w:t>
            </w:r>
          </w:p>
        </w:tc>
        <w:tc>
          <w:tcPr>
            <w:tcW w:type="dxa" w:w="2017"/>
          </w:tcPr>
          <w:p>
            <w:r>
              <w:t>Implementiert</w:t>
            </w:r>
          </w:p>
        </w:tc>
        <w:tc>
          <w:tcPr>
            <w:tcW w:type="dxa" w:w="2017"/>
          </w:tcPr>
          <w:p>
            <w:r>
              <w:t>Batterie-Prozentwert, Potensic-Farbschwelle, verticalDistance als Cockpit-Höhe, Telemetrie-Ausklappfeld und Parser-Offsetkorrektur.</w:t>
            </w:r>
          </w:p>
        </w:tc>
      </w:tr>
    </w:tbl>
    <w:sectPr w:rsidR="00FC693F" w:rsidRPr="0006063C" w:rsidSect="00034616">
      <w:headerReference w:type="default" r:id="rId9"/>
      <w:footerReference w:type="default" r:id="rId10"/>
      <w:pgSz w:w="12240" w:h="15840"/>
      <w:pgMar w:top="1020" w:right="1077" w:bottom="96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Stand: 2026-09-29 | Status: Implementierter Arbeitsstand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sz w:val="16"/>
      </w:rPr>
      <w:t>PotensicProxy_TAF - Batterie und Telemetrie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