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- Projektvorgabe - Update-Bestandsschutz-und-Wiederherstellung - v1.0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30"/>
        <w:gridCol w:w="4830"/>
      </w:tblGrid>
      <w:tr>
        <w:tc>
          <w:tcPr>
            <w:tcW w:type="dxa" w:w="4830"/>
          </w:tcPr>
          <w:p>
            <w:r>
              <w:t>Projekt</w:t>
            </w:r>
          </w:p>
        </w:tc>
        <w:tc>
          <w:tcPr>
            <w:tcW w:type="dxa" w:w="4830"/>
          </w:tcPr>
          <w:p>
            <w:r>
              <w:t>PotensicProxy_TAF</w:t>
            </w:r>
          </w:p>
        </w:tc>
      </w:tr>
      <w:tr>
        <w:tc>
          <w:tcPr>
            <w:tcW w:type="dxa" w:w="4830"/>
          </w:tcPr>
          <w:p>
            <w:r>
              <w:t>Dokumentenart</w:t>
            </w:r>
          </w:p>
        </w:tc>
        <w:tc>
          <w:tcPr>
            <w:tcW w:type="dxa" w:w="4830"/>
          </w:tcPr>
          <w:p>
            <w:r>
              <w:t>Projektvorgabe</w:t>
            </w:r>
          </w:p>
        </w:tc>
      </w:tr>
      <w:tr>
        <w:tc>
          <w:tcPr>
            <w:tcW w:type="dxa" w:w="4830"/>
          </w:tcPr>
          <w:p>
            <w:r>
              <w:t>Dokumentversion</w:t>
            </w:r>
          </w:p>
        </w:tc>
        <w:tc>
          <w:tcPr>
            <w:tcW w:type="dxa" w:w="4830"/>
          </w:tcPr>
          <w:p>
            <w:r>
              <w:t>v1.0 (Entwurf)</w:t>
            </w:r>
          </w:p>
        </w:tc>
      </w:tr>
      <w:tr>
        <w:tc>
          <w:tcPr>
            <w:tcW w:type="dxa" w:w="4830"/>
          </w:tcPr>
          <w:p>
            <w:r>
              <w:t>Erstellt / geändert</w:t>
            </w:r>
          </w:p>
        </w:tc>
        <w:tc>
          <w:tcPr>
            <w:tcW w:type="dxa" w:w="4830"/>
          </w:tcPr>
          <w:p>
            <w:r>
              <w:t>2026-10-14</w:t>
            </w:r>
          </w:p>
        </w:tc>
      </w:tr>
      <w:tr>
        <w:tc>
          <w:tcPr>
            <w:tcW w:type="dxa" w:w="4830"/>
          </w:tcPr>
          <w:p>
            <w:r>
              <w:t>Verantwortung</w:t>
            </w:r>
          </w:p>
        </w:tc>
        <w:tc>
          <w:tcPr>
            <w:tcW w:type="dxa" w:w="4830"/>
          </w:tcPr>
          <w:p>
            <w:r>
              <w:t>Projektverantwortung: noch festzulegen; Ausarbeitung: ChatGPT</w:t>
            </w:r>
          </w:p>
        </w:tc>
      </w:tr>
      <w:tr>
        <w:tc>
          <w:tcPr>
            <w:tcW w:type="dxa" w:w="4830"/>
          </w:tcPr>
          <w:p>
            <w:r>
              <w:t>Status</w:t>
            </w:r>
          </w:p>
        </w:tc>
        <w:tc>
          <w:tcPr>
            <w:tcW w:type="dxa" w:w="4830"/>
          </w:tcPr>
          <w:p>
            <w:r>
              <w:t>Entwurf – zur Übernahme bei Umsetzung</w:t>
            </w:r>
          </w:p>
        </w:tc>
      </w:tr>
      <w:tr>
        <w:tc>
          <w:tcPr>
            <w:tcW w:type="dxa" w:w="4830"/>
          </w:tcPr>
          <w:p>
            <w:r>
              <w:t>Vorgesehener Ablageort</w:t>
            </w:r>
          </w:p>
        </w:tc>
        <w:tc>
          <w:tcPr>
            <w:tcW w:type="dxa" w:w="4830"/>
          </w:tcPr>
          <w:p>
            <w:r>
              <w:t>DOCUMENTATION/Update_Bestandsschutz/</w:t>
            </w:r>
          </w:p>
        </w:tc>
      </w:tr>
    </w:tbl>
    <w:p>
      <w:r>
        <w:t>Dieses Dokument beschreibt Anforderungen und geplante Abnahmekriterien. Es bestätigt keine Implementierung oder bestandenen Gerätetests.</w:t>
      </w:r>
    </w:p>
    <w:p>
      <w:pPr>
        <w:pStyle w:val="Heading1"/>
      </w:pPr>
      <w:r>
        <w:t>1. Geltungsbereich</w:t>
      </w:r>
    </w:p>
    <w:p>
      <w:r>
        <w:t>Verbindliche fachliche Vorgabe für alle zukünftigen kompatiblen In-Place-Updates und Hotfixes von PotensicProxy_TAF, unabhängig davon, ob die APK über BL_-Debug-Kanal oder stabilen Release-Kanal verteilt wird. Es handelt sich um eine geplante Projektvorgabe, nicht um einen bereits implementierten Schutzmechanismus.</w:t>
      </w:r>
    </w:p>
    <w:p>
      <w:pPr>
        <w:pStyle w:val="Heading1"/>
      </w:pPr>
      <w:r>
        <w:t>2. Zu erhaltende Bestände</w:t>
      </w:r>
    </w:p>
    <w:p>
      <w:pPr>
        <w:pStyle w:val="ListBullet"/>
      </w:pPr>
      <w:r>
        <w:t>Android-App-Berechtigungen und persistente Storage Access Framework (SAF)-URI-Freigaben.</w:t>
      </w:r>
    </w:p>
    <w:p>
      <w:pPr>
        <w:pStyle w:val="ListBullet"/>
      </w:pPr>
      <w:r>
        <w:t>Gespeicherte Einstellungen, lokale Verbindungsparameter und sensible Daten in den vorgesehenen Android-App-Speichern.</w:t>
      </w:r>
    </w:p>
    <w:p>
      <w:pPr>
        <w:pStyle w:val="ListBullet"/>
      </w:pPr>
      <w:r>
        <w:t>PStart-Sitzungen, Bilddateien, XMP-Daten, Auswertungen und Sitzungsabschlussnachweise.</w:t>
      </w:r>
    </w:p>
    <w:p>
      <w:pPr>
        <w:pStyle w:val="ListBullet"/>
      </w:pPr>
      <w:r>
        <w:t>PPort-Modelle, Zuordnungen, Darstellungsoptionen und bisherige Nutzerdaten.</w:t>
      </w:r>
    </w:p>
    <w:p>
      <w:pPr>
        <w:pStyle w:val="Heading1"/>
      </w:pPr>
      <w:r>
        <w:t>3. Technische Schutzregeln</w:t>
      </w:r>
    </w:p>
    <w:p>
      <w:r>
        <w:t>Application-ID und kompatible APK-Signatur beibehalten; niemals als „Update“ eine Deinstallation mit Datenverlust durchführen. Release-/Debug-Kanäle mit unvereinbaren Signaturen strikt trennen.</w:t>
      </w:r>
    </w:p>
    <w:p>
      <w:r>
        <w:t>Persistente SAF-Freigaben korrekt sichern und bei App-Start prüfen; eine neue Zustimmung darf nur bei tatsächlich fehlendem Zugriff erforderlich sein.</w:t>
      </w:r>
    </w:p>
    <w:p>
      <w:r>
        <w:t>Datenbankschemata und lokale Dateiformate mit migrationsfähigen Versionsmechanismen behandeln. Rückwärtskompatibilität für einen eventuellen Rollback gesondert nachweisen.</w:t>
      </w:r>
    </w:p>
    <w:p>
      <w:r>
        <w:t>Ein unkontrolliertes Ersetzen von Keystores oder automatisches Zurücksetzen von Berechtigungen ist verboten.</w:t>
      </w:r>
    </w:p>
    <w:p>
      <w:pPr>
        <w:pStyle w:val="Heading1"/>
      </w:pPr>
      <w:r>
        <w:t>4. Prüfschema pro Update</w:t>
      </w:r>
    </w:p>
    <w:p>
      <w:pPr>
        <w:pStyle w:val="ListNumber"/>
      </w:pPr>
      <w:r>
        <w:t>Vor dem Update: aktuelle Versionsdaten, Grant-Zustände, Zugriffstests und Dateninventar erfassen; ohne Zugangsdaten oder vertrauliche Inhalte ins Log zu schreiben.</w:t>
      </w:r>
    </w:p>
    <w:p>
      <w:pPr>
        <w:pStyle w:val="ListNumber"/>
      </w:pPr>
      <w:r>
        <w:t>Update: kompatible Signatur, gesicherte Flugsituation und Akkuschwelle &gt;40 % kontrollieren; Installation nur systemkonform.</w:t>
      </w:r>
    </w:p>
    <w:p>
      <w:pPr>
        <w:pStyle w:val="ListNumber"/>
      </w:pPr>
      <w:r>
        <w:t>Nach Neustart: Versionscode, Berechtigungen, SAF-Zugriffe, Sitzungs-/Modellverfügbarkeit und Einstellungen gegen Vorherzustand prüfen.</w:t>
      </w:r>
    </w:p>
    <w:p>
      <w:pPr>
        <w:pStyle w:val="ListNumber"/>
      </w:pPr>
      <w:r>
        <w:t>Bei Abweichung: verständlichen Fehler und gezielten Reparatur-/Neufreigabeweg anbieten; Daten nicht automatisch löschen.</w:t>
      </w:r>
    </w:p>
    <w:p>
      <w:pPr>
        <w:pStyle w:val="ListNumber"/>
      </w:pPr>
      <w:r>
        <w:t>Testergebnis der jeweiligen Release-Dokumentation beifügen; Abweichungen als offen dokumentieren.</w:t>
      </w:r>
    </w:p>
    <w:p>
      <w:pPr>
        <w:pStyle w:val="Heading1"/>
      </w:pPr>
      <w:r>
        <w:t>5. Flugfreigaben und Rückkehr</w:t>
      </w:r>
    </w:p>
    <w:p>
      <w:r>
        <w:t>Temporäre Flug- und PLand-Sicherheitsfreigaben dürfen beim Neustart nicht ungeprüft übernommen werden. Nach jedem Update muss anhand vorhandener Sitzungsnachweise und aktueller Telemetrie neu bewertet werden.</w:t>
      </w:r>
    </w:p>
    <w:p>
      <w:r>
        <w:t>Die frühere APK wird für einen technisch möglichen Wiederherstellungsweg referenziert. Android ermöglicht nicht allgemein jederzeit einen datenbewahrenden Downgrade; deshalb darf Rückkehr nicht als garantiert bezeichnet werden.</w:t>
      </w:r>
    </w:p>
    <w:p>
      <w:pPr>
        <w:pStyle w:val="Heading1"/>
      </w:pPr>
      <w:r>
        <w:t>6. Ablage und Bezug</w:t>
      </w:r>
    </w:p>
    <w:p>
      <w:r>
        <w:t>Vorgesehener Pfad im vollständigen Projekt: PotensicProxy_TAF/DOCUMENTATION/Update_Bestandsschutz/. Diese Unterlage wird in PDF und DOCX unverändert mitgeführt und bei Regeländerung versioniert; die zugehörigen Testergebnisse werden pro Release getrennt erfasst.</w:t>
      </w:r>
    </w:p>
    <w:p>
      <w:r>
        <w:t>Referenz: PotensicProxy_TAF – Änderungsauftrag – GitHub-Updates und Bestandsschutz – v0.2; Dokument „Android-App – Änderungsauftrag – Updateverteilung über GitHub – v0.1“ vom 14.10.2026.</w:t>
      </w:r>
    </w:p>
    <w:p>
      <w:pPr>
        <w:pStyle w:val="Heading1"/>
      </w:pPr>
      <w:r>
        <w:t>Änderungshistorie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5"/>
        <w:gridCol w:w="2415"/>
        <w:gridCol w:w="2415"/>
        <w:gridCol w:w="2415"/>
      </w:tblGrid>
      <w:tr>
        <w:tc>
          <w:tcPr>
            <w:tcW w:type="dxa" w:w="2415"/>
          </w:tcPr>
          <w:p>
            <w:r>
              <w:t>Version</w:t>
            </w:r>
          </w:p>
        </w:tc>
        <w:tc>
          <w:tcPr>
            <w:tcW w:type="dxa" w:w="2415"/>
          </w:tcPr>
          <w:p>
            <w:r>
              <w:t>Datum</w:t>
            </w:r>
          </w:p>
        </w:tc>
        <w:tc>
          <w:tcPr>
            <w:tcW w:type="dxa" w:w="2415"/>
          </w:tcPr>
          <w:p>
            <w:r>
              <w:t>Status</w:t>
            </w:r>
          </w:p>
        </w:tc>
        <w:tc>
          <w:tcPr>
            <w:tcW w:type="dxa" w:w="2415"/>
          </w:tcPr>
          <w:p>
            <w:r>
              <w:t>Änderung</w:t>
            </w:r>
          </w:p>
        </w:tc>
      </w:tr>
      <w:tr>
        <w:tc>
          <w:tcPr>
            <w:tcW w:type="dxa" w:w="2415"/>
          </w:tcPr>
          <w:p>
            <w:r>
              <w:t>v1.0</w:t>
            </w:r>
          </w:p>
        </w:tc>
        <w:tc>
          <w:tcPr>
            <w:tcW w:type="dxa" w:w="2415"/>
          </w:tcPr>
          <w:p>
            <w:r>
              <w:t>2026-10-14</w:t>
            </w:r>
          </w:p>
        </w:tc>
        <w:tc>
          <w:tcPr>
            <w:tcW w:type="dxa" w:w="2415"/>
          </w:tcPr>
          <w:p>
            <w:r>
              <w:t>Entwurf / fachliche Abstimmung</w:t>
            </w:r>
          </w:p>
        </w:tc>
        <w:tc>
          <w:tcPr>
            <w:tcW w:type="dxa" w:w="2415"/>
          </w:tcPr>
          <w:p>
            <w:r>
              <w:t>Erweiterte Anforderungen und projektbezogene Konkretisierung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91" w:right="1247" w:bottom="107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PotensicProxy_TAF  |  v1.0  |  Entwurf  | 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7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75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color w:val="16375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