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PotensicProxy_TAF</w:t>
        <w:br/>
        <w:t>Projektdokumentation - Flugaktionen, Gimbal und Buildfehlerkorrektur</w:t>
      </w:r>
    </w:p>
    <w:p>
      <w:pPr>
        <w:jc w:val="center"/>
      </w:pPr>
      <w:r>
        <w:rPr>
          <w:b/>
          <w:sz w:val="22"/>
        </w:rPr>
        <w:t>Umsetzung des Änderungsauftrags v1.2 und Auswertung der CI-Fehlermeldungen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vAlign w:val="center"/>
            <w:shd w:fill="365F91"/>
          </w:tcPr>
          <w:p>
            <w:r/>
            <w:r>
              <w:rPr>
                <w:b/>
                <w:color w:val="FFFFFF"/>
                <w:sz w:val="17"/>
              </w:rPr>
              <w:t>Angabe</w:t>
            </w:r>
          </w:p>
        </w:tc>
        <w:tc>
          <w:tcPr>
            <w:tcW w:type="dxa" w:w="5156"/>
            <w:vAlign w:val="center"/>
            <w:shd w:fill="365F91"/>
          </w:tcPr>
          <w:p>
            <w:r/>
            <w:r>
              <w:rPr>
                <w:b/>
                <w:color w:val="FFFFFF"/>
                <w:sz w:val="17"/>
              </w:rPr>
              <w:t>Wert</w:t>
            </w:r>
          </w:p>
        </w:tc>
      </w:tr>
      <w:tr>
        <w:trPr>
          <w:cantSplit/>
        </w:trPr>
        <w:tc>
          <w:tcPr>
            <w:tcW w:type="dxa" w:w="5156"/>
            <w:vAlign w:val="center"/>
          </w:tcPr>
          <w:p>
            <w:r/>
            <w:r>
              <w:rPr>
                <w:b w:val="0"/>
                <w:sz w:val="17"/>
              </w:rPr>
              <w:t>Projekt</w:t>
            </w:r>
          </w:p>
        </w:tc>
        <w:tc>
          <w:tcPr>
            <w:tcW w:type="dxa" w:w="5156"/>
            <w:vAlign w:val="center"/>
          </w:tcPr>
          <w:p>
            <w:r/>
            <w:r>
              <w:rPr>
                <w:b w:val="0"/>
                <w:sz w:val="17"/>
              </w:rPr>
              <w:t>Potensic_Atom_2 / PotensicProxy_TAF</w:t>
            </w:r>
          </w:p>
        </w:tc>
      </w:tr>
      <w:tr>
        <w:trPr>
          <w:cantSplit/>
        </w:trPr>
        <w:tc>
          <w:tcPr>
            <w:tcW w:type="dxa" w:w="5156"/>
            <w:vAlign w:val="center"/>
          </w:tcPr>
          <w:p>
            <w:r/>
            <w:r>
              <w:rPr>
                <w:b w:val="0"/>
                <w:sz w:val="17"/>
              </w:rPr>
              <w:t>Dokumentenart</w:t>
            </w:r>
          </w:p>
        </w:tc>
        <w:tc>
          <w:tcPr>
            <w:tcW w:type="dxa" w:w="5156"/>
            <w:vAlign w:val="center"/>
          </w:tcPr>
          <w:p>
            <w:r/>
            <w:r>
              <w:rPr>
                <w:b w:val="0"/>
                <w:sz w:val="17"/>
              </w:rPr>
              <w:t>Projektdokumentation / Änderungsnachweis</w:t>
            </w:r>
          </w:p>
        </w:tc>
      </w:tr>
      <w:tr>
        <w:trPr>
          <w:cantSplit/>
        </w:trPr>
        <w:tc>
          <w:tcPr>
            <w:tcW w:type="dxa" w:w="5156"/>
            <w:vAlign w:val="center"/>
          </w:tcPr>
          <w:p>
            <w:r/>
            <w:r>
              <w:rPr>
                <w:b w:val="0"/>
                <w:sz w:val="17"/>
              </w:rPr>
              <w:t>Erstellungsdatum</w:t>
            </w:r>
          </w:p>
        </w:tc>
        <w:tc>
          <w:tcPr>
            <w:tcW w:type="dxa" w:w="5156"/>
            <w:vAlign w:val="center"/>
          </w:tcPr>
          <w:p>
            <w:r/>
            <w:r>
              <w:rPr>
                <w:b w:val="0"/>
                <w:sz w:val="17"/>
              </w:rPr>
              <w:t>2026-10-02</w:t>
            </w:r>
          </w:p>
        </w:tc>
      </w:tr>
      <w:tr>
        <w:trPr>
          <w:cantSplit/>
        </w:trPr>
        <w:tc>
          <w:tcPr>
            <w:tcW w:type="dxa" w:w="5156"/>
            <w:vAlign w:val="center"/>
          </w:tcPr>
          <w:p>
            <w:r/>
            <w:r>
              <w:rPr>
                <w:b w:val="0"/>
                <w:sz w:val="17"/>
              </w:rPr>
              <w:t>Änderungsdatum</w:t>
            </w:r>
          </w:p>
        </w:tc>
        <w:tc>
          <w:tcPr>
            <w:tcW w:type="dxa" w:w="5156"/>
            <w:vAlign w:val="center"/>
          </w:tcPr>
          <w:p>
            <w:r/>
            <w:r>
              <w:rPr>
                <w:b w:val="0"/>
                <w:sz w:val="17"/>
              </w:rPr>
              <w:t>2026-10-02</w:t>
            </w:r>
          </w:p>
        </w:tc>
      </w:tr>
      <w:tr>
        <w:trPr>
          <w:cantSplit/>
        </w:trPr>
        <w:tc>
          <w:tcPr>
            <w:tcW w:type="dxa" w:w="5156"/>
            <w:vAlign w:val="center"/>
          </w:tcPr>
          <w:p>
            <w:r/>
            <w:r>
              <w:rPr>
                <w:b w:val="0"/>
                <w:sz w:val="17"/>
              </w:rPr>
              <w:t>Bearbeiter</w:t>
            </w:r>
          </w:p>
        </w:tc>
        <w:tc>
          <w:tcPr>
            <w:tcW w:type="dxa" w:w="5156"/>
            <w:vAlign w:val="center"/>
          </w:tcPr>
          <w:p>
            <w:r/>
            <w:r>
              <w:rPr>
                <w:b w:val="0"/>
                <w:sz w:val="17"/>
              </w:rPr>
              <w:t>OpenAI / ChatGPT</w:t>
            </w:r>
          </w:p>
        </w:tc>
      </w:tr>
      <w:tr>
        <w:trPr>
          <w:cantSplit/>
        </w:trPr>
        <w:tc>
          <w:tcPr>
            <w:tcW w:type="dxa" w:w="5156"/>
            <w:vAlign w:val="center"/>
          </w:tcPr>
          <w:p>
            <w:r/>
            <w:r>
              <w:rPr>
                <w:b w:val="0"/>
                <w:sz w:val="17"/>
              </w:rPr>
              <w:t>Version</w:t>
            </w:r>
          </w:p>
        </w:tc>
        <w:tc>
          <w:tcPr>
            <w:tcW w:type="dxa" w:w="5156"/>
            <w:vAlign w:val="center"/>
          </w:tcPr>
          <w:p>
            <w:r/>
            <w:r>
              <w:rPr>
                <w:b w:val="0"/>
                <w:sz w:val="17"/>
              </w:rPr>
              <w:t>v1.1</w:t>
            </w:r>
          </w:p>
        </w:tc>
      </w:tr>
      <w:tr>
        <w:trPr>
          <w:cantSplit/>
        </w:trPr>
        <w:tc>
          <w:tcPr>
            <w:tcW w:type="dxa" w:w="5156"/>
            <w:vAlign w:val="center"/>
          </w:tcPr>
          <w:p>
            <w:r/>
            <w:r>
              <w:rPr>
                <w:b w:val="0"/>
                <w:sz w:val="17"/>
              </w:rPr>
              <w:t>Status</w:t>
            </w:r>
          </w:p>
        </w:tc>
        <w:tc>
          <w:tcPr>
            <w:tcW w:type="dxa" w:w="5156"/>
            <w:vAlign w:val="center"/>
          </w:tcPr>
          <w:p>
            <w:r/>
            <w:r>
              <w:rPr>
                <w:b w:val="0"/>
                <w:sz w:val="17"/>
              </w:rPr>
              <w:t>Umgesetzt - statisch geprüft; CI-Rebuild empfohlen</w:t>
            </w:r>
          </w:p>
        </w:tc>
      </w:tr>
      <w:tr>
        <w:trPr>
          <w:cantSplit/>
        </w:trPr>
        <w:tc>
          <w:tcPr>
            <w:tcW w:type="dxa" w:w="5156"/>
            <w:vAlign w:val="center"/>
          </w:tcPr>
          <w:p>
            <w:r/>
            <w:r>
              <w:rPr>
                <w:b w:val="0"/>
                <w:sz w:val="17"/>
              </w:rPr>
              <w:t>Softwarestand</w:t>
            </w:r>
          </w:p>
        </w:tc>
        <w:tc>
          <w:tcPr>
            <w:tcW w:type="dxa" w:w="5156"/>
            <w:vAlign w:val="center"/>
          </w:tcPr>
          <w:p>
            <w:r/>
            <w:r>
              <w:rPr>
                <w:b w:val="0"/>
                <w:sz w:val="17"/>
              </w:rPr>
              <w:t>Frontend/Backend 0.957; Android versionCode 30</w:t>
            </w:r>
          </w:p>
        </w:tc>
      </w:tr>
      <w:tr>
        <w:trPr>
          <w:cantSplit/>
        </w:trPr>
        <w:tc>
          <w:tcPr>
            <w:tcW w:type="dxa" w:w="5156"/>
            <w:vAlign w:val="center"/>
          </w:tcPr>
          <w:p>
            <w:r/>
            <w:r>
              <w:rPr>
                <w:b w:val="0"/>
                <w:sz w:val="17"/>
              </w:rPr>
              <w:t>Ablageort</w:t>
            </w:r>
          </w:p>
        </w:tc>
        <w:tc>
          <w:tcPr>
            <w:tcW w:type="dxa" w:w="5156"/>
            <w:vAlign w:val="center"/>
          </w:tcPr>
          <w:p>
            <w:r/>
            <w:r>
              <w:rPr>
                <w:b w:val="0"/>
                <w:sz w:val="17"/>
              </w:rPr>
              <w:t>Projektordner DOCUMENTATION und Auslieferungspaket</w:t>
            </w:r>
          </w:p>
        </w:tc>
      </w:tr>
      <w:tr>
        <w:trPr>
          <w:cantSplit/>
        </w:trPr>
        <w:tc>
          <w:tcPr>
            <w:tcW w:type="dxa" w:w="5156"/>
            <w:vAlign w:val="center"/>
          </w:tcPr>
          <w:p>
            <w:r/>
            <w:r>
              <w:rPr>
                <w:b w:val="0"/>
                <w:sz w:val="17"/>
              </w:rPr>
              <w:t>Referenzen</w:t>
            </w:r>
          </w:p>
        </w:tc>
        <w:tc>
          <w:tcPr>
            <w:tcW w:type="dxa" w:w="5156"/>
            <w:vAlign w:val="center"/>
          </w:tcPr>
          <w:p>
            <w:r/>
            <w:r>
              <w:rPr>
                <w:b w:val="0"/>
                <w:sz w:val="17"/>
              </w:rPr>
              <w:t>Änderungsauftrag Flugaktionen/Gimbal v1.2; logs_100253097294.zip; Regeln Projektdokumentation</w:t>
            </w:r>
          </w:p>
        </w:tc>
      </w:tr>
    </w:tbl>
    <w:p>
      <w:pPr>
        <w:pStyle w:val="Heading1"/>
      </w:pPr>
      <w:r>
        <w:t>1. Ausgangslage und Ziel</w:t>
      </w:r>
    </w:p>
    <w:p>
      <w:r>
        <w:t>Der Änderungsauftrag v1.2 erweitert die bereits begonnene Umstellung der Flugaktionen und verlangt zusätzlich eine stufenlose Gimbal-Sollwertregelung. Parallel enthielt der bereitgestellte CI-Log einen Kotlin-Kompilierfehler in ProxyService.kt. Ziel dieses Arbeitsstands ist, den gemeldeten Buildfehler im Projekt zu korrigieren, die App-Erweiterungen umzusetzen und die Änderung nachvollziehbar nach den Projektrichtlinien auszuliefern.</w:t>
      </w:r>
    </w:p>
    <w:p>
      <w:pPr>
        <w:pStyle w:val="Heading1"/>
      </w:pPr>
      <w:r>
        <w:t>2. Auswertung der Fehlermeldungen</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vAlign w:val="center"/>
            <w:shd w:fill="365F91"/>
          </w:tcPr>
          <w:p>
            <w:r/>
            <w:r>
              <w:rPr>
                <w:b/>
                <w:color w:val="FFFFFF"/>
                <w:sz w:val="17"/>
              </w:rPr>
              <w:t>Logbefund</w:t>
            </w:r>
          </w:p>
        </w:tc>
        <w:tc>
          <w:tcPr>
            <w:tcW w:type="dxa" w:w="2578"/>
            <w:vAlign w:val="center"/>
            <w:shd w:fill="365F91"/>
          </w:tcPr>
          <w:p>
            <w:r/>
            <w:r>
              <w:rPr>
                <w:b/>
                <w:color w:val="FFFFFF"/>
                <w:sz w:val="17"/>
              </w:rPr>
              <w:t>Ursache</w:t>
            </w:r>
          </w:p>
        </w:tc>
        <w:tc>
          <w:tcPr>
            <w:tcW w:type="dxa" w:w="2578"/>
            <w:vAlign w:val="center"/>
            <w:shd w:fill="365F91"/>
          </w:tcPr>
          <w:p>
            <w:r/>
            <w:r>
              <w:rPr>
                <w:b/>
                <w:color w:val="FFFFFF"/>
                <w:sz w:val="17"/>
              </w:rPr>
              <w:t>Korrektur</w:t>
            </w:r>
          </w:p>
        </w:tc>
        <w:tc>
          <w:tcPr>
            <w:tcW w:type="dxa" w:w="2578"/>
            <w:vAlign w:val="center"/>
            <w:shd w:fill="365F91"/>
          </w:tcPr>
          <w:p>
            <w:r/>
            <w:r>
              <w:rPr>
                <w:b/>
                <w:color w:val="FFFFFF"/>
                <w:sz w:val="17"/>
              </w:rPr>
              <w:t>Status</w:t>
            </w:r>
          </w:p>
        </w:tc>
      </w:tr>
      <w:tr>
        <w:trPr>
          <w:cantSplit/>
        </w:trPr>
        <w:tc>
          <w:tcPr>
            <w:tcW w:type="dxa" w:w="2578"/>
            <w:vAlign w:val="center"/>
          </w:tcPr>
          <w:p>
            <w:r/>
            <w:r>
              <w:rPr>
                <w:b w:val="0"/>
                <w:sz w:val="17"/>
              </w:rPr>
              <w:t>ProxyService.kt:81 - Argument type mismatch: File statt Context</w:t>
            </w:r>
          </w:p>
        </w:tc>
        <w:tc>
          <w:tcPr>
            <w:tcW w:type="dxa" w:w="2578"/>
            <w:vAlign w:val="center"/>
          </w:tcPr>
          <w:p>
            <w:r/>
            <w:r>
              <w:rPr>
                <w:b w:val="0"/>
                <w:sz w:val="17"/>
              </w:rPr>
              <w:t>Die aktuelle WebServer-Konstruktorsignatur erwartet vor filesDir zusätzlich appContext: Context.</w:t>
            </w:r>
          </w:p>
        </w:tc>
        <w:tc>
          <w:tcPr>
            <w:tcW w:type="dxa" w:w="2578"/>
            <w:vAlign w:val="center"/>
          </w:tcPr>
          <w:p>
            <w:r/>
            <w:r>
              <w:rPr>
                <w:b w:val="0"/>
                <w:sz w:val="17"/>
              </w:rPr>
              <w:t>WebServer-Aufruf um applicationContext ergänzt; filesDir bleibt danach an der vorgesehenen Position.</w:t>
            </w:r>
          </w:p>
        </w:tc>
        <w:tc>
          <w:tcPr>
            <w:tcW w:type="dxa" w:w="2578"/>
            <w:vAlign w:val="center"/>
          </w:tcPr>
          <w:p>
            <w:r/>
            <w:r>
              <w:rPr>
                <w:b w:val="0"/>
                <w:sz w:val="17"/>
              </w:rPr>
              <w:t>Korrigiert</w:t>
            </w:r>
          </w:p>
        </w:tc>
      </w:tr>
      <w:tr>
        <w:trPr>
          <w:cantSplit/>
        </w:trPr>
        <w:tc>
          <w:tcPr>
            <w:tcW w:type="dxa" w:w="2578"/>
            <w:vAlign w:val="center"/>
          </w:tcPr>
          <w:p>
            <w:r/>
            <w:r>
              <w:rPr>
                <w:b w:val="0"/>
                <w:sz w:val="17"/>
              </w:rPr>
              <w:t>ProxyService.kt:81 - No value passed for parameter filesDir</w:t>
            </w:r>
          </w:p>
        </w:tc>
        <w:tc>
          <w:tcPr>
            <w:tcW w:type="dxa" w:w="2578"/>
            <w:vAlign w:val="center"/>
          </w:tcPr>
          <w:p>
            <w:r/>
            <w:r>
              <w:rPr>
                <w:b w:val="0"/>
                <w:sz w:val="17"/>
              </w:rPr>
              <w:t>Folgefehler derselben verschobenen Argumentliste.</w:t>
            </w:r>
          </w:p>
        </w:tc>
        <w:tc>
          <w:tcPr>
            <w:tcW w:type="dxa" w:w="2578"/>
            <w:vAlign w:val="center"/>
          </w:tcPr>
          <w:p>
            <w:r/>
            <w:r>
              <w:rPr>
                <w:b w:val="0"/>
                <w:sz w:val="17"/>
              </w:rPr>
              <w:t>Durch vollständige Konstruktorsignatur beseitigt.</w:t>
            </w:r>
          </w:p>
        </w:tc>
        <w:tc>
          <w:tcPr>
            <w:tcW w:type="dxa" w:w="2578"/>
            <w:vAlign w:val="center"/>
          </w:tcPr>
          <w:p>
            <w:r/>
            <w:r>
              <w:rPr>
                <w:b w:val="0"/>
                <w:sz w:val="17"/>
              </w:rPr>
              <w:t>Korrigiert</w:t>
            </w:r>
          </w:p>
        </w:tc>
      </w:tr>
      <w:tr>
        <w:trPr>
          <w:cantSplit/>
        </w:trPr>
        <w:tc>
          <w:tcPr>
            <w:tcW w:type="dxa" w:w="2578"/>
            <w:vAlign w:val="center"/>
          </w:tcPr>
          <w:p>
            <w:r/>
            <w:r>
              <w:rPr>
                <w:b w:val="0"/>
                <w:sz w:val="17"/>
              </w:rPr>
              <w:t>Node.js-20-Actions-Warnung</w:t>
            </w:r>
          </w:p>
        </w:tc>
        <w:tc>
          <w:tcPr>
            <w:tcW w:type="dxa" w:w="2578"/>
            <w:vAlign w:val="center"/>
          </w:tcPr>
          <w:p>
            <w:r/>
            <w:r>
              <w:rPr>
                <w:b w:val="0"/>
                <w:sz w:val="17"/>
              </w:rPr>
              <w:t>GitHub Actions v4 wird vom Runner auf Node 24 gezwungen; kein Projekt-Kompilierfehler.</w:t>
            </w:r>
          </w:p>
        </w:tc>
        <w:tc>
          <w:tcPr>
            <w:tcW w:type="dxa" w:w="2578"/>
            <w:vAlign w:val="center"/>
          </w:tcPr>
          <w:p>
            <w:r/>
            <w:r>
              <w:rPr>
                <w:b w:val="0"/>
                <w:sz w:val="17"/>
              </w:rPr>
              <w:t>Keine Codeänderung erforderlich.</w:t>
            </w:r>
          </w:p>
        </w:tc>
        <w:tc>
          <w:tcPr>
            <w:tcW w:type="dxa" w:w="2578"/>
            <w:vAlign w:val="center"/>
          </w:tcPr>
          <w:p>
            <w:r/>
            <w:r>
              <w:rPr>
                <w:b w:val="0"/>
                <w:sz w:val="17"/>
              </w:rPr>
              <w:t>Hinweis</w:t>
            </w:r>
          </w:p>
        </w:tc>
      </w:tr>
      <w:tr>
        <w:trPr>
          <w:cantSplit/>
        </w:trPr>
        <w:tc>
          <w:tcPr>
            <w:tcW w:type="dxa" w:w="2578"/>
            <w:vAlign w:val="center"/>
          </w:tcPr>
          <w:p>
            <w:r/>
            <w:r>
              <w:rPr>
                <w:b w:val="0"/>
                <w:sz w:val="17"/>
              </w:rPr>
              <w:t>Vite Chunk-Size-Warnung</w:t>
            </w:r>
          </w:p>
        </w:tc>
        <w:tc>
          <w:tcPr>
            <w:tcW w:type="dxa" w:w="2578"/>
            <w:vAlign w:val="center"/>
          </w:tcPr>
          <w:p>
            <w:r/>
            <w:r>
              <w:rPr>
                <w:b w:val="0"/>
                <w:sz w:val="17"/>
              </w:rPr>
              <w:t>Hinweis auf Bundlegröße; Build war im bereitgestellten CI-Log erfolgreich.</w:t>
            </w:r>
          </w:p>
        </w:tc>
        <w:tc>
          <w:tcPr>
            <w:tcW w:type="dxa" w:w="2578"/>
            <w:vAlign w:val="center"/>
          </w:tcPr>
          <w:p>
            <w:r/>
            <w:r>
              <w:rPr>
                <w:b w:val="0"/>
                <w:sz w:val="17"/>
              </w:rPr>
              <w:t>Keine funktionale Korrektur erforderlich.</w:t>
            </w:r>
          </w:p>
        </w:tc>
        <w:tc>
          <w:tcPr>
            <w:tcW w:type="dxa" w:w="2578"/>
            <w:vAlign w:val="center"/>
          </w:tcPr>
          <w:p>
            <w:r/>
            <w:r>
              <w:rPr>
                <w:b w:val="0"/>
                <w:sz w:val="17"/>
              </w:rPr>
              <w:t>Hinweis</w:t>
            </w:r>
          </w:p>
        </w:tc>
      </w:tr>
    </w:tbl>
    <w:p>
      <w:pPr>
        <w:pStyle w:val="Heading1"/>
      </w:pPr>
      <w:r>
        <w:t>3. Flugaktionen gemäß Änderungsauftrag v1.2</w:t>
      </w:r>
    </w:p>
    <w:p>
      <w:r>
        <w:t>Start, Landung und RTH verwenden weiterhin den bestätigten SendCtrlData-Pfad über Function 0x0014. Der zentrale 32-Byte-Payload-Builder bleibt maßgeblich; die frühere unbelegte Mehrfachwiederholung wird für diese CtrlType-Aktionen nicht verwendet.</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vAlign w:val="center"/>
            <w:shd w:fill="365F91"/>
          </w:tcPr>
          <w:p>
            <w:r/>
            <w:r>
              <w:rPr>
                <w:b/>
                <w:color w:val="FFFFFF"/>
                <w:sz w:val="17"/>
              </w:rPr>
              <w:t>Aktion</w:t>
            </w:r>
          </w:p>
        </w:tc>
        <w:tc>
          <w:tcPr>
            <w:tcW w:type="dxa" w:w="2578"/>
            <w:vAlign w:val="center"/>
            <w:shd w:fill="365F91"/>
          </w:tcPr>
          <w:p>
            <w:r/>
            <w:r>
              <w:rPr>
                <w:b/>
                <w:color w:val="FFFFFF"/>
                <w:sz w:val="17"/>
              </w:rPr>
              <w:t>command</w:t>
            </w:r>
          </w:p>
        </w:tc>
        <w:tc>
          <w:tcPr>
            <w:tcW w:type="dxa" w:w="2578"/>
            <w:vAlign w:val="center"/>
            <w:shd w:fill="365F91"/>
          </w:tcPr>
          <w:p>
            <w:r/>
            <w:r>
              <w:rPr>
                <w:b/>
                <w:color w:val="FFFFFF"/>
                <w:sz w:val="17"/>
              </w:rPr>
              <w:t>result_param2</w:t>
            </w:r>
          </w:p>
        </w:tc>
        <w:tc>
          <w:tcPr>
            <w:tcW w:type="dxa" w:w="2578"/>
            <w:vAlign w:val="center"/>
            <w:shd w:fill="365F91"/>
          </w:tcPr>
          <w:p>
            <w:r/>
            <w:r>
              <w:rPr>
                <w:b/>
                <w:color w:val="FFFFFF"/>
                <w:sz w:val="17"/>
              </w:rPr>
              <w:t>UI-/Zustandslogik</w:t>
            </w:r>
          </w:p>
        </w:tc>
      </w:tr>
      <w:tr>
        <w:trPr>
          <w:cantSplit/>
        </w:trPr>
        <w:tc>
          <w:tcPr>
            <w:tcW w:type="dxa" w:w="2578"/>
            <w:vAlign w:val="center"/>
          </w:tcPr>
          <w:p>
            <w:r/>
            <w:r>
              <w:rPr>
                <w:b w:val="0"/>
                <w:sz w:val="17"/>
              </w:rPr>
              <w:t>Takeoff</w:t>
            </w:r>
          </w:p>
        </w:tc>
        <w:tc>
          <w:tcPr>
            <w:tcW w:type="dxa" w:w="2578"/>
            <w:vAlign w:val="center"/>
          </w:tcPr>
          <w:p>
            <w:r/>
            <w:r>
              <w:rPr>
                <w:b w:val="0"/>
                <w:sz w:val="17"/>
              </w:rPr>
              <w:t>3</w:t>
            </w:r>
          </w:p>
        </w:tc>
        <w:tc>
          <w:tcPr>
            <w:tcW w:type="dxa" w:w="2578"/>
            <w:vAlign w:val="center"/>
          </w:tcPr>
          <w:p>
            <w:r/>
            <w:r>
              <w:rPr>
                <w:b w:val="0"/>
                <w:sz w:val="17"/>
              </w:rPr>
              <w:t>0</w:t>
            </w:r>
          </w:p>
        </w:tc>
        <w:tc>
          <w:tcPr>
            <w:tcW w:type="dxa" w:w="2578"/>
            <w:vAlign w:val="center"/>
          </w:tcPr>
          <w:p>
            <w:r/>
            <w:r>
              <w:rPr>
                <w:b w:val="0"/>
                <w:sz w:val="17"/>
              </w:rPr>
              <w:t>Bestätigung vor Ausführung; gesperrt während Flug/Takeoff.</w:t>
            </w:r>
          </w:p>
        </w:tc>
      </w:tr>
      <w:tr>
        <w:trPr>
          <w:cantSplit/>
        </w:trPr>
        <w:tc>
          <w:tcPr>
            <w:tcW w:type="dxa" w:w="2578"/>
            <w:vAlign w:val="center"/>
          </w:tcPr>
          <w:p>
            <w:r/>
            <w:r>
              <w:rPr>
                <w:b w:val="0"/>
                <w:sz w:val="17"/>
              </w:rPr>
              <w:t>Land</w:t>
            </w:r>
          </w:p>
        </w:tc>
        <w:tc>
          <w:tcPr>
            <w:tcW w:type="dxa" w:w="2578"/>
            <w:vAlign w:val="center"/>
          </w:tcPr>
          <w:p>
            <w:r/>
            <w:r>
              <w:rPr>
                <w:b w:val="0"/>
                <w:sz w:val="17"/>
              </w:rPr>
              <w:t>4</w:t>
            </w:r>
          </w:p>
        </w:tc>
        <w:tc>
          <w:tcPr>
            <w:tcW w:type="dxa" w:w="2578"/>
            <w:vAlign w:val="center"/>
          </w:tcPr>
          <w:p>
            <w:r/>
            <w:r>
              <w:rPr>
                <w:b w:val="0"/>
                <w:sz w:val="17"/>
              </w:rPr>
              <w:t>0x55</w:t>
            </w:r>
          </w:p>
        </w:tc>
        <w:tc>
          <w:tcPr>
            <w:tcW w:type="dxa" w:w="2578"/>
            <w:vAlign w:val="center"/>
          </w:tcPr>
          <w:p>
            <w:r/>
            <w:r>
              <w:rPr>
                <w:b w:val="0"/>
                <w:sz w:val="17"/>
              </w:rPr>
              <w:t>Bestätigung; bei aktivem isLanding wird statt Land Cancel Land angeboten.</w:t>
            </w:r>
          </w:p>
        </w:tc>
      </w:tr>
      <w:tr>
        <w:trPr>
          <w:cantSplit/>
        </w:trPr>
        <w:tc>
          <w:tcPr>
            <w:tcW w:type="dxa" w:w="2578"/>
            <w:vAlign w:val="center"/>
          </w:tcPr>
          <w:p>
            <w:r/>
            <w:r>
              <w:rPr>
                <w:b w:val="0"/>
                <w:sz w:val="17"/>
              </w:rPr>
              <w:t>Cancel Land</w:t>
            </w:r>
          </w:p>
        </w:tc>
        <w:tc>
          <w:tcPr>
            <w:tcW w:type="dxa" w:w="2578"/>
            <w:vAlign w:val="center"/>
          </w:tcPr>
          <w:p>
            <w:r/>
            <w:r>
              <w:rPr>
                <w:b w:val="0"/>
                <w:sz w:val="17"/>
              </w:rPr>
              <w:t>4</w:t>
            </w:r>
          </w:p>
        </w:tc>
        <w:tc>
          <w:tcPr>
            <w:tcW w:type="dxa" w:w="2578"/>
            <w:vAlign w:val="center"/>
          </w:tcPr>
          <w:p>
            <w:r/>
            <w:r>
              <w:rPr>
                <w:b w:val="0"/>
                <w:sz w:val="17"/>
              </w:rPr>
              <w:t>0xAA</w:t>
            </w:r>
          </w:p>
        </w:tc>
        <w:tc>
          <w:tcPr>
            <w:tcW w:type="dxa" w:w="2578"/>
            <w:vAlign w:val="center"/>
          </w:tcPr>
          <w:p>
            <w:r/>
            <w:r>
              <w:rPr>
                <w:b w:val="0"/>
                <w:sz w:val="17"/>
              </w:rPr>
              <w:t>Nur bei aktivem Landing-Zustand über die Landungsaktion.</w:t>
            </w:r>
          </w:p>
        </w:tc>
      </w:tr>
      <w:tr>
        <w:trPr>
          <w:cantSplit/>
        </w:trPr>
        <w:tc>
          <w:tcPr>
            <w:tcW w:type="dxa" w:w="2578"/>
            <w:vAlign w:val="center"/>
          </w:tcPr>
          <w:p>
            <w:r/>
            <w:r>
              <w:rPr>
                <w:b w:val="0"/>
                <w:sz w:val="17"/>
              </w:rPr>
              <w:t>RTH</w:t>
            </w:r>
          </w:p>
        </w:tc>
        <w:tc>
          <w:tcPr>
            <w:tcW w:type="dxa" w:w="2578"/>
            <w:vAlign w:val="center"/>
          </w:tcPr>
          <w:p>
            <w:r/>
            <w:r>
              <w:rPr>
                <w:b w:val="0"/>
                <w:sz w:val="17"/>
              </w:rPr>
              <w:t>8</w:t>
            </w:r>
          </w:p>
        </w:tc>
        <w:tc>
          <w:tcPr>
            <w:tcW w:type="dxa" w:w="2578"/>
            <w:vAlign w:val="center"/>
          </w:tcPr>
          <w:p>
            <w:r/>
            <w:r>
              <w:rPr>
                <w:b w:val="0"/>
                <w:sz w:val="17"/>
              </w:rPr>
              <w:t>0</w:t>
            </w:r>
          </w:p>
        </w:tc>
        <w:tc>
          <w:tcPr>
            <w:tcW w:type="dxa" w:w="2578"/>
            <w:vAlign w:val="center"/>
          </w:tcPr>
          <w:p>
            <w:r/>
            <w:r>
              <w:rPr>
                <w:b w:val="0"/>
                <w:sz w:val="17"/>
              </w:rPr>
              <w:t>Bestätigung; bei aktivem isReturning wechselt dieselbe Aktion auf Abbruch.</w:t>
            </w:r>
          </w:p>
        </w:tc>
      </w:tr>
      <w:tr>
        <w:trPr>
          <w:cantSplit/>
        </w:trPr>
        <w:tc>
          <w:tcPr>
            <w:tcW w:type="dxa" w:w="2578"/>
            <w:vAlign w:val="center"/>
          </w:tcPr>
          <w:p>
            <w:r/>
            <w:r>
              <w:rPr>
                <w:b w:val="0"/>
                <w:sz w:val="17"/>
              </w:rPr>
              <w:t>Cancel Auto Fly</w:t>
            </w:r>
          </w:p>
        </w:tc>
        <w:tc>
          <w:tcPr>
            <w:tcW w:type="dxa" w:w="2578"/>
            <w:vAlign w:val="center"/>
          </w:tcPr>
          <w:p>
            <w:r/>
            <w:r>
              <w:rPr>
                <w:b w:val="0"/>
                <w:sz w:val="17"/>
              </w:rPr>
              <w:t>99</w:t>
            </w:r>
          </w:p>
        </w:tc>
        <w:tc>
          <w:tcPr>
            <w:tcW w:type="dxa" w:w="2578"/>
            <w:vAlign w:val="center"/>
          </w:tcPr>
          <w:p>
            <w:r/>
            <w:r>
              <w:rPr>
                <w:b w:val="0"/>
                <w:sz w:val="17"/>
              </w:rPr>
              <w:t>0</w:t>
            </w:r>
          </w:p>
        </w:tc>
        <w:tc>
          <w:tcPr>
            <w:tcW w:type="dxa" w:w="2578"/>
            <w:vAlign w:val="center"/>
          </w:tcPr>
          <w:p>
            <w:r/>
            <w:r>
              <w:rPr>
                <w:b w:val="0"/>
                <w:sz w:val="17"/>
              </w:rPr>
              <w:t>Wird bei aktivem RTH über die RTH-Schaltfläche ausgelöst.</w:t>
            </w:r>
          </w:p>
        </w:tc>
      </w:tr>
    </w:tbl>
    <w:p>
      <w:pPr>
        <w:pStyle w:val="Heading1"/>
      </w:pPr>
      <w:r>
        <w:t>4. Not-Aus - Sendepfad unverändert</w:t>
      </w:r>
    </w:p>
    <w:p>
      <w:r>
        <w:t>Der bestehende Not-Aus-Builder, die Wiederholung, der Backend-/Transportpfad und das eigentliche Sendeverhalten wurden nicht verändert. Neu ist ausschließlich ein vorgeschalteter Sicherheitsdialog. Abbrechen, Schließen über den Hintergrund oder Escape führt zu keinem Sendebefehl. Erst die ausdrückliche Gefahrenaktion protokolliert die Bestätigung und ruft die bisherige emergencyStop()-Implementierung auf.</w:t>
      </w:r>
    </w:p>
    <w:p>
      <w:pPr>
        <w:pStyle w:val="Heading1"/>
      </w:pPr>
      <w:r>
        <w:t>5. Stufenlose Gimbalsteuerung</w:t>
      </w:r>
    </w:p>
    <w:p>
      <w:pPr>
        <w:pStyle w:val="Heading2"/>
      </w:pPr>
      <w:r>
        <w:t>5.1 Trennung Preset und kontinuierliche Regelung</w:t>
      </w:r>
    </w:p>
    <w:p>
      <w:r>
        <w:t>Die Preset-Tasten 0°, -45° und -90° bleiben auf dem vorhandenen Gimbal-Settings-Pfad (Function 0x1A). Der Slider rundet Zwischenwerte nicht mehr auf Presets, sondern führt einen freien Sollwinkel im bestehenden Bereich -90° bis +30°. Preset- und kontinuierlicher Modus sind im Store getrennt, damit nachlaufende Settings-Rückmeldungen einen frei gewählten Sollwinkel nicht überschreiben.</w:t>
      </w:r>
    </w:p>
    <w:p>
      <w:pPr>
        <w:pStyle w:val="Heading2"/>
      </w:pPr>
      <w:r>
        <w:t>5.2 Send4Axis-Regelung</w:t>
      </w:r>
    </w:p>
    <w:p>
      <w:r>
        <w:t>Zwischenwinkel werden nicht als neue absolute Function-0x1A-Serialisierung erfunden. Die Regelung verwendet den bereits vorhandenen Gimbal-Bytekanal in Send4AxisData / Function 0x01. sendJoysticks() übernimmt den aktuellen Stellwert aus der Gimbalregelung anstelle eines dauerhaft neutralen Gimbalwerts. Neutral bleibt 0 auf TAF-Ebene und wird im PacketBuilder weiterhin auf Payloadwert 125 abgebildet.</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shd w:fill="365F91"/>
          </w:tcPr>
          <w:p>
            <w:r/>
            <w:r>
              <w:rPr>
                <w:b/>
                <w:color w:val="FFFFFF"/>
                <w:sz w:val="17"/>
              </w:rPr>
              <w:t>TAF-Regelparameter</w:t>
            </w:r>
          </w:p>
        </w:tc>
        <w:tc>
          <w:tcPr>
            <w:tcW w:type="dxa" w:w="3437"/>
            <w:vAlign w:val="center"/>
            <w:shd w:fill="365F91"/>
          </w:tcPr>
          <w:p>
            <w:r/>
            <w:r>
              <w:rPr>
                <w:b/>
                <w:color w:val="FFFFFF"/>
                <w:sz w:val="17"/>
              </w:rPr>
              <w:t>Wert</w:t>
            </w:r>
          </w:p>
        </w:tc>
        <w:tc>
          <w:tcPr>
            <w:tcW w:type="dxa" w:w="3437"/>
            <w:vAlign w:val="center"/>
            <w:shd w:fill="365F91"/>
          </w:tcPr>
          <w:p>
            <w:r/>
            <w:r>
              <w:rPr>
                <w:b/>
                <w:color w:val="FFFFFF"/>
                <w:sz w:val="17"/>
              </w:rPr>
              <w:t>Bedeutung</w:t>
            </w:r>
          </w:p>
        </w:tc>
      </w:tr>
      <w:tr>
        <w:trPr>
          <w:cantSplit/>
        </w:trPr>
        <w:tc>
          <w:tcPr>
            <w:tcW w:type="dxa" w:w="3437"/>
            <w:vAlign w:val="center"/>
          </w:tcPr>
          <w:p>
            <w:r/>
            <w:r>
              <w:rPr>
                <w:b w:val="0"/>
                <w:sz w:val="17"/>
              </w:rPr>
              <w:t>Toleranz</w:t>
            </w:r>
          </w:p>
        </w:tc>
        <w:tc>
          <w:tcPr>
            <w:tcW w:type="dxa" w:w="3437"/>
            <w:vAlign w:val="center"/>
          </w:tcPr>
          <w:p>
            <w:r/>
            <w:r>
              <w:rPr>
                <w:b w:val="0"/>
                <w:sz w:val="17"/>
              </w:rPr>
              <w:t>1.0°</w:t>
            </w:r>
          </w:p>
        </w:tc>
        <w:tc>
          <w:tcPr>
            <w:tcW w:type="dxa" w:w="3437"/>
            <w:vAlign w:val="center"/>
          </w:tcPr>
          <w:p>
            <w:r/>
            <w:r>
              <w:rPr>
                <w:b w:val="0"/>
                <w:sz w:val="17"/>
              </w:rPr>
              <w:t>Innerhalb dieses Zielbandes wird auf neutral geschaltet.</w:t>
            </w:r>
          </w:p>
        </w:tc>
      </w:tr>
      <w:tr>
        <w:trPr>
          <w:cantSplit/>
        </w:trPr>
        <w:tc>
          <w:tcPr>
            <w:tcW w:type="dxa" w:w="3437"/>
            <w:vAlign w:val="center"/>
          </w:tcPr>
          <w:p>
            <w:r/>
            <w:r>
              <w:rPr>
                <w:b w:val="0"/>
                <w:sz w:val="17"/>
              </w:rPr>
              <w:t>Telemetry max age</w:t>
            </w:r>
          </w:p>
        </w:tc>
        <w:tc>
          <w:tcPr>
            <w:tcW w:type="dxa" w:w="3437"/>
            <w:vAlign w:val="center"/>
          </w:tcPr>
          <w:p>
            <w:r/>
            <w:r>
              <w:rPr>
                <w:b w:val="0"/>
                <w:sz w:val="17"/>
              </w:rPr>
              <w:t>3500 ms</w:t>
            </w:r>
          </w:p>
        </w:tc>
        <w:tc>
          <w:tcPr>
            <w:tcW w:type="dxa" w:w="3437"/>
            <w:vAlign w:val="center"/>
          </w:tcPr>
          <w:p>
            <w:r/>
            <w:r>
              <w:rPr>
                <w:b w:val="0"/>
                <w:sz w:val="17"/>
              </w:rPr>
              <w:t>Ältere Gimbal-Telemetrie beendet die Regelung.</w:t>
            </w:r>
          </w:p>
        </w:tc>
      </w:tr>
      <w:tr>
        <w:trPr>
          <w:cantSplit/>
        </w:trPr>
        <w:tc>
          <w:tcPr>
            <w:tcW w:type="dxa" w:w="3437"/>
            <w:vAlign w:val="center"/>
          </w:tcPr>
          <w:p>
            <w:r/>
            <w:r>
              <w:rPr>
                <w:b w:val="0"/>
                <w:sz w:val="17"/>
              </w:rPr>
              <w:t>Min. Stellwert</w:t>
            </w:r>
          </w:p>
        </w:tc>
        <w:tc>
          <w:tcPr>
            <w:tcW w:type="dxa" w:w="3437"/>
            <w:vAlign w:val="center"/>
          </w:tcPr>
          <w:p>
            <w:r/>
            <w:r>
              <w:rPr>
                <w:b w:val="0"/>
                <w:sz w:val="17"/>
              </w:rPr>
              <w:t>140</w:t>
            </w:r>
          </w:p>
        </w:tc>
        <w:tc>
          <w:tcPr>
            <w:tcW w:type="dxa" w:w="3437"/>
            <w:vAlign w:val="center"/>
          </w:tcPr>
          <w:p>
            <w:r/>
            <w:r>
              <w:rPr>
                <w:b w:val="0"/>
                <w:sz w:val="17"/>
              </w:rPr>
              <w:t>Kleine, aber wirksame TAF-Achsenansteuerung nahe am Ziel.</w:t>
            </w:r>
          </w:p>
        </w:tc>
      </w:tr>
      <w:tr>
        <w:trPr>
          <w:cantSplit/>
        </w:trPr>
        <w:tc>
          <w:tcPr>
            <w:tcW w:type="dxa" w:w="3437"/>
            <w:vAlign w:val="center"/>
          </w:tcPr>
          <w:p>
            <w:r/>
            <w:r>
              <w:rPr>
                <w:b w:val="0"/>
                <w:sz w:val="17"/>
              </w:rPr>
              <w:t>Max. Stellwert</w:t>
            </w:r>
          </w:p>
        </w:tc>
        <w:tc>
          <w:tcPr>
            <w:tcW w:type="dxa" w:w="3437"/>
            <w:vAlign w:val="center"/>
          </w:tcPr>
          <w:p>
            <w:r/>
            <w:r>
              <w:rPr>
                <w:b w:val="0"/>
                <w:sz w:val="17"/>
              </w:rPr>
              <w:t>650</w:t>
            </w:r>
          </w:p>
        </w:tc>
        <w:tc>
          <w:tcPr>
            <w:tcW w:type="dxa" w:w="3437"/>
            <w:vAlign w:val="center"/>
          </w:tcPr>
          <w:p>
            <w:r/>
            <w:r>
              <w:rPr>
                <w:b w:val="0"/>
                <w:sz w:val="17"/>
              </w:rPr>
              <w:t>Begrenzung der TAF-Achsenansteuerung.</w:t>
            </w:r>
          </w:p>
        </w:tc>
      </w:tr>
      <w:tr>
        <w:trPr>
          <w:cantSplit/>
        </w:trPr>
        <w:tc>
          <w:tcPr>
            <w:tcW w:type="dxa" w:w="3437"/>
            <w:vAlign w:val="center"/>
          </w:tcPr>
          <w:p>
            <w:r/>
            <w:r>
              <w:rPr>
                <w:b w:val="0"/>
                <w:sz w:val="17"/>
              </w:rPr>
              <w:t>Slow zone</w:t>
            </w:r>
          </w:p>
        </w:tc>
        <w:tc>
          <w:tcPr>
            <w:tcW w:type="dxa" w:w="3437"/>
            <w:vAlign w:val="center"/>
          </w:tcPr>
          <w:p>
            <w:r/>
            <w:r>
              <w:rPr>
                <w:b w:val="0"/>
                <w:sz w:val="17"/>
              </w:rPr>
              <w:t>18°</w:t>
            </w:r>
          </w:p>
        </w:tc>
        <w:tc>
          <w:tcPr>
            <w:tcW w:type="dxa" w:w="3437"/>
            <w:vAlign w:val="center"/>
          </w:tcPr>
          <w:p>
            <w:r/>
            <w:r>
              <w:rPr>
                <w:b w:val="0"/>
                <w:sz w:val="17"/>
              </w:rPr>
              <w:t>Proportionale Reduktion der Stellgröße beim Annähern.</w:t>
            </w:r>
          </w:p>
        </w:tc>
      </w:tr>
    </w:tbl>
    <w:p>
      <w:r>
        <w:t>Diese Werte sind abstimmbare TAF-Regelparameter und werden ausdrücklich nicht als neue Protokollkonstanten interpretiert.</w:t>
      </w:r>
    </w:p>
    <w:p>
      <w:pPr>
        <w:pStyle w:val="Heading2"/>
      </w:pPr>
      <w:r>
        <w:t>5.3 Zustands- und Sicherheitslogik</w:t>
      </w:r>
    </w:p>
    <w:p>
      <w:pPr>
        <w:pStyle w:val="ListBullet"/>
      </w:pPr>
      <w:r>
        <w:t>Sollwinkel, Aktivstatus, aktueller Gimbal-Stellwert, Modus und Zeitstempel der letzten Gimbal-Telemetrie werden zentral im Drone-Store geführt.</w:t>
      </w:r>
    </w:p>
    <w:p>
      <w:pPr>
        <w:pStyle w:val="ListBullet"/>
      </w:pPr>
      <w:r>
        <w:t>Der vorhandene 80-ms-Axis-Loop läuft weiter, solange die kontinuierliche Gimbalregelung aktiv ist, auch wenn beide virtuellen Joysticks neutral sind.</w:t>
      </w:r>
    </w:p>
    <w:p>
      <w:pPr>
        <w:pStyle w:val="ListBullet"/>
      </w:pPr>
      <w:r>
        <w:t>Bei Zielerreichung wird der Stellwert auf neutral gesetzt und der Axis-Loop darf stoppen, sofern keine Joystickbedienung aktiv ist.</w:t>
      </w:r>
    </w:p>
    <w:p>
      <w:pPr>
        <w:pStyle w:val="ListBullet"/>
      </w:pPr>
      <w:r>
        <w:t>Bei Verbindungsverlust, ungültiger oder veralteter Gimbal-Telemetrie sowie beim Verlassen des Cockpits wird die Regelung beendet und neutralisiert.</w:t>
      </w:r>
    </w:p>
    <w:p>
      <w:pPr>
        <w:pStyle w:val="ListBullet"/>
      </w:pPr>
      <w:r>
        <w:t>Die Istwert-Anzeige bleibt an gimbalPitch aus der Gimbal-State-Telemetrie gebunden; der Sollwert wird nicht als Istwert gespiegelt.</w:t>
      </w:r>
    </w:p>
    <w:p>
      <w:pPr>
        <w:pStyle w:val="Heading1"/>
      </w:pPr>
      <w:r>
        <w:t>6. Engineering-Logging</w:t>
      </w:r>
    </w:p>
    <w:p>
      <w:r>
        <w:t>Für Flugaktionen bleibt das bereits ergänzte TX-Logging mit Aktion, FE-Typ, Function-ID, Payloadlänge, Payload und vollständigem Frame erhalten. Für die kontinuierliche Gimbalregelung werden Aktivierung, Zielwinkel, Istwinkel, Regelfehler, resultierender Achsenwert, Neutralisierung und Abbruchgrund protokolliert. Der Not-Aus-Dialog protokolliert Abbruch bzw. ausdrückliche Bestätigung, ohne den Not-Aus-Sendecode selbst zu verändern.</w:t>
      </w:r>
    </w:p>
    <w:p>
      <w:pPr>
        <w:pStyle w:val="Heading1"/>
      </w:pPr>
      <w:r>
        <w:t>7. Geänderte Dateien</w:t>
      </w:r>
    </w:p>
    <w:p>
      <w:pPr>
        <w:pStyle w:val="ListBullet"/>
      </w:pPr>
      <w:r>
        <w:t>app/build.gradle.kts</w:t>
      </w:r>
    </w:p>
    <w:p>
      <w:pPr>
        <w:pStyle w:val="ListBullet"/>
      </w:pPr>
      <w:r>
        <w:t>app/src/main/java/com/potensic/proxy/ProxyService.kt</w:t>
      </w:r>
    </w:p>
    <w:p>
      <w:pPr>
        <w:pStyle w:val="ListBullet"/>
      </w:pPr>
      <w:r>
        <w:t>webui/package.json</w:t>
      </w:r>
    </w:p>
    <w:p>
      <w:pPr>
        <w:pStyle w:val="ListBullet"/>
      </w:pPr>
      <w:r>
        <w:t>webui/package-lock.json</w:t>
      </w:r>
    </w:p>
    <w:p>
      <w:pPr>
        <w:pStyle w:val="ListBullet"/>
      </w:pPr>
      <w:r>
        <w:t>webui/src/components/cockpit/CockpitView.vue</w:t>
      </w:r>
    </w:p>
    <w:p>
      <w:pPr>
        <w:pStyle w:val="ListBullet"/>
      </w:pPr>
      <w:r>
        <w:t>webui/src/components/cockpit/FlightActions.vue</w:t>
      </w:r>
    </w:p>
    <w:p>
      <w:pPr>
        <w:pStyle w:val="ListBullet"/>
      </w:pPr>
      <w:r>
        <w:t>webui/src/components/cockpit/GimbalControl.vue</w:t>
      </w:r>
    </w:p>
    <w:p>
      <w:pPr>
        <w:pStyle w:val="ListBullet"/>
      </w:pPr>
      <w:r>
        <w:t>webui/src/i18n/index.ts</w:t>
      </w:r>
    </w:p>
    <w:p>
      <w:pPr>
        <w:pStyle w:val="ListBullet"/>
      </w:pPr>
      <w:r>
        <w:t>webui/src/services/DroneControlService.ts</w:t>
      </w:r>
    </w:p>
    <w:p>
      <w:pPr>
        <w:pStyle w:val="ListBullet"/>
      </w:pPr>
      <w:r>
        <w:t>webui/src/stores/useDroneStore.ts</w:t>
      </w:r>
    </w:p>
    <w:p>
      <w:pPr>
        <w:pStyle w:val="Heading1"/>
      </w:pPr>
      <w:r>
        <w:t>8. Prüfung und Abnahme</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vAlign w:val="center"/>
            <w:shd w:fill="365F91"/>
          </w:tcPr>
          <w:p>
            <w:r/>
            <w:r>
              <w:rPr>
                <w:b/>
                <w:color w:val="FFFFFF"/>
                <w:sz w:val="17"/>
              </w:rPr>
              <w:t>Prüfpunkt</w:t>
            </w:r>
          </w:p>
        </w:tc>
        <w:tc>
          <w:tcPr>
            <w:tcW w:type="dxa" w:w="3437"/>
            <w:vAlign w:val="center"/>
            <w:shd w:fill="365F91"/>
          </w:tcPr>
          <w:p>
            <w:r/>
            <w:r>
              <w:rPr>
                <w:b/>
                <w:color w:val="FFFFFF"/>
                <w:sz w:val="17"/>
              </w:rPr>
              <w:t>Ergebnis</w:t>
            </w:r>
          </w:p>
        </w:tc>
        <w:tc>
          <w:tcPr>
            <w:tcW w:type="dxa" w:w="3437"/>
            <w:vAlign w:val="center"/>
            <w:shd w:fill="365F91"/>
          </w:tcPr>
          <w:p>
            <w:r/>
            <w:r>
              <w:rPr>
                <w:b/>
                <w:color w:val="FFFFFF"/>
                <w:sz w:val="17"/>
              </w:rPr>
              <w:t>Nachweis</w:t>
            </w:r>
          </w:p>
        </w:tc>
      </w:tr>
      <w:tr>
        <w:trPr>
          <w:cantSplit/>
        </w:trPr>
        <w:tc>
          <w:tcPr>
            <w:tcW w:type="dxa" w:w="3437"/>
            <w:vAlign w:val="center"/>
          </w:tcPr>
          <w:p>
            <w:r/>
            <w:r>
              <w:rPr>
                <w:b w:val="0"/>
                <w:sz w:val="17"/>
              </w:rPr>
              <w:t>TypeScript/Vue Typprüfung</w:t>
            </w:r>
          </w:p>
        </w:tc>
        <w:tc>
          <w:tcPr>
            <w:tcW w:type="dxa" w:w="3437"/>
            <w:vAlign w:val="center"/>
          </w:tcPr>
          <w:p>
            <w:r/>
            <w:r>
              <w:rPr>
                <w:b w:val="0"/>
                <w:sz w:val="17"/>
              </w:rPr>
              <w:t>Bestanden</w:t>
            </w:r>
          </w:p>
        </w:tc>
        <w:tc>
          <w:tcPr>
            <w:tcW w:type="dxa" w:w="3437"/>
            <w:vAlign w:val="center"/>
          </w:tcPr>
          <w:p>
            <w:r/>
            <w:r>
              <w:rPr>
                <w:b w:val="0"/>
                <w:sz w:val="17"/>
              </w:rPr>
              <w:t>vue-tsc --noEmit ohne Fehler.</w:t>
            </w:r>
          </w:p>
        </w:tc>
      </w:tr>
      <w:tr>
        <w:trPr>
          <w:cantSplit/>
        </w:trPr>
        <w:tc>
          <w:tcPr>
            <w:tcW w:type="dxa" w:w="3437"/>
            <w:vAlign w:val="center"/>
          </w:tcPr>
          <w:p>
            <w:r/>
            <w:r>
              <w:rPr>
                <w:b w:val="0"/>
                <w:sz w:val="17"/>
              </w:rPr>
              <w:t>Kotlin-Logfehler WebServer-Aufruf</w:t>
            </w:r>
          </w:p>
        </w:tc>
        <w:tc>
          <w:tcPr>
            <w:tcW w:type="dxa" w:w="3437"/>
            <w:vAlign w:val="center"/>
          </w:tcPr>
          <w:p>
            <w:r/>
            <w:r>
              <w:rPr>
                <w:b w:val="0"/>
                <w:sz w:val="17"/>
              </w:rPr>
              <w:t>Korrigiert</w:t>
            </w:r>
          </w:p>
        </w:tc>
        <w:tc>
          <w:tcPr>
            <w:tcW w:type="dxa" w:w="3437"/>
            <w:vAlign w:val="center"/>
          </w:tcPr>
          <w:p>
            <w:r/>
            <w:r>
              <w:rPr>
                <w:b w:val="0"/>
                <w:sz w:val="17"/>
              </w:rPr>
              <w:t>ProxyService übergibt applicationContext und filesDir entsprechend der Konstruktorsignatur.</w:t>
            </w:r>
          </w:p>
        </w:tc>
      </w:tr>
      <w:tr>
        <w:trPr>
          <w:cantSplit/>
        </w:trPr>
        <w:tc>
          <w:tcPr>
            <w:tcW w:type="dxa" w:w="3437"/>
            <w:vAlign w:val="center"/>
          </w:tcPr>
          <w:p>
            <w:r/>
            <w:r>
              <w:rPr>
                <w:b w:val="0"/>
                <w:sz w:val="17"/>
              </w:rPr>
              <w:t>Takeoff/Land/RTH CtrlType</w:t>
            </w:r>
          </w:p>
        </w:tc>
        <w:tc>
          <w:tcPr>
            <w:tcW w:type="dxa" w:w="3437"/>
            <w:vAlign w:val="center"/>
          </w:tcPr>
          <w:p>
            <w:r/>
            <w:r>
              <w:rPr>
                <w:b w:val="0"/>
                <w:sz w:val="17"/>
              </w:rPr>
              <w:t>Erfüllt</w:t>
            </w:r>
          </w:p>
        </w:tc>
        <w:tc>
          <w:tcPr>
            <w:tcW w:type="dxa" w:w="3437"/>
            <w:vAlign w:val="center"/>
          </w:tcPr>
          <w:p>
            <w:r/>
            <w:r>
              <w:rPr>
                <w:b w:val="0"/>
                <w:sz w:val="17"/>
              </w:rPr>
              <w:t>PacketBuilder nutzt buildCtrlType(3/4/8); Cancel Land 4/0xAA; Cancel Auto Fly 99/0.</w:t>
            </w:r>
          </w:p>
        </w:tc>
      </w:tr>
      <w:tr>
        <w:trPr>
          <w:cantSplit/>
        </w:trPr>
        <w:tc>
          <w:tcPr>
            <w:tcW w:type="dxa" w:w="3437"/>
            <w:vAlign w:val="center"/>
          </w:tcPr>
          <w:p>
            <w:r/>
            <w:r>
              <w:rPr>
                <w:b w:val="0"/>
                <w:sz w:val="17"/>
              </w:rPr>
              <w:t>RTH-Zustandsabbruch</w:t>
            </w:r>
          </w:p>
        </w:tc>
        <w:tc>
          <w:tcPr>
            <w:tcW w:type="dxa" w:w="3437"/>
            <w:vAlign w:val="center"/>
          </w:tcPr>
          <w:p>
            <w:r/>
            <w:r>
              <w:rPr>
                <w:b w:val="0"/>
                <w:sz w:val="17"/>
              </w:rPr>
              <w:t>Erfüllt</w:t>
            </w:r>
          </w:p>
        </w:tc>
        <w:tc>
          <w:tcPr>
            <w:tcW w:type="dxa" w:w="3437"/>
            <w:vAlign w:val="center"/>
          </w:tcPr>
          <w:p>
            <w:r/>
            <w:r>
              <w:rPr>
                <w:b w:val="0"/>
                <w:sz w:val="17"/>
              </w:rPr>
              <w:t>FlightActions schaltet bei telemetry.returning auf cancelRth().</w:t>
            </w:r>
          </w:p>
        </w:tc>
      </w:tr>
      <w:tr>
        <w:trPr>
          <w:cantSplit/>
        </w:trPr>
        <w:tc>
          <w:tcPr>
            <w:tcW w:type="dxa" w:w="3437"/>
            <w:vAlign w:val="center"/>
          </w:tcPr>
          <w:p>
            <w:r/>
            <w:r>
              <w:rPr>
                <w:b w:val="0"/>
                <w:sz w:val="17"/>
              </w:rPr>
              <w:t>Not-Aus-Bestätigung</w:t>
            </w:r>
          </w:p>
        </w:tc>
        <w:tc>
          <w:tcPr>
            <w:tcW w:type="dxa" w:w="3437"/>
            <w:vAlign w:val="center"/>
          </w:tcPr>
          <w:p>
            <w:r/>
            <w:r>
              <w:rPr>
                <w:b w:val="0"/>
                <w:sz w:val="17"/>
              </w:rPr>
              <w:t>Erfüllt</w:t>
            </w:r>
          </w:p>
        </w:tc>
        <w:tc>
          <w:tcPr>
            <w:tcW w:type="dxa" w:w="3437"/>
            <w:vAlign w:val="center"/>
          </w:tcPr>
          <w:p>
            <w:r/>
            <w:r>
              <w:rPr>
                <w:b w:val="0"/>
                <w:sz w:val="17"/>
              </w:rPr>
              <w:t>Modaler Sicherheitsdialog vor unverändertem emergencyStop()-Pfad.</w:t>
            </w:r>
          </w:p>
        </w:tc>
      </w:tr>
      <w:tr>
        <w:trPr>
          <w:cantSplit/>
        </w:trPr>
        <w:tc>
          <w:tcPr>
            <w:tcW w:type="dxa" w:w="3437"/>
            <w:vAlign w:val="center"/>
          </w:tcPr>
          <w:p>
            <w:r/>
            <w:r>
              <w:rPr>
                <w:b w:val="0"/>
                <w:sz w:val="17"/>
              </w:rPr>
              <w:t>Stufenloser Gimbal-Slider</w:t>
            </w:r>
          </w:p>
        </w:tc>
        <w:tc>
          <w:tcPr>
            <w:tcW w:type="dxa" w:w="3437"/>
            <w:vAlign w:val="center"/>
          </w:tcPr>
          <w:p>
            <w:r/>
            <w:r>
              <w:rPr>
                <w:b w:val="0"/>
                <w:sz w:val="17"/>
              </w:rPr>
              <w:t>Erfüllt</w:t>
            </w:r>
          </w:p>
        </w:tc>
        <w:tc>
          <w:tcPr>
            <w:tcW w:type="dxa" w:w="3437"/>
            <w:vAlign w:val="center"/>
          </w:tcPr>
          <w:p>
            <w:r/>
            <w:r>
              <w:rPr>
                <w:b w:val="0"/>
                <w:sz w:val="17"/>
              </w:rPr>
              <w:t>Freier 0.1°-Sollwert; kein Preset-Snapping im Slider.</w:t>
            </w:r>
          </w:p>
        </w:tc>
      </w:tr>
      <w:tr>
        <w:trPr>
          <w:cantSplit/>
        </w:trPr>
        <w:tc>
          <w:tcPr>
            <w:tcW w:type="dxa" w:w="3437"/>
            <w:vAlign w:val="center"/>
          </w:tcPr>
          <w:p>
            <w:r/>
            <w:r>
              <w:rPr>
                <w:b w:val="0"/>
                <w:sz w:val="17"/>
              </w:rPr>
              <w:t>Preset-Pfad unverändert</w:t>
            </w:r>
          </w:p>
        </w:tc>
        <w:tc>
          <w:tcPr>
            <w:tcW w:type="dxa" w:w="3437"/>
            <w:vAlign w:val="center"/>
          </w:tcPr>
          <w:p>
            <w:r/>
            <w:r>
              <w:rPr>
                <w:b w:val="0"/>
                <w:sz w:val="17"/>
              </w:rPr>
              <w:t>Erfüllt</w:t>
            </w:r>
          </w:p>
        </w:tc>
        <w:tc>
          <w:tcPr>
            <w:tcW w:type="dxa" w:w="3437"/>
            <w:vAlign w:val="center"/>
          </w:tcPr>
          <w:p>
            <w:r/>
            <w:r>
              <w:rPr>
                <w:b w:val="0"/>
                <w:sz w:val="17"/>
              </w:rPr>
              <w:t>setGimbalPitchPreset() verwendet weiterhin Function 0x1A.</w:t>
            </w:r>
          </w:p>
        </w:tc>
      </w:tr>
      <w:tr>
        <w:trPr>
          <w:cantSplit/>
        </w:trPr>
        <w:tc>
          <w:tcPr>
            <w:tcW w:type="dxa" w:w="3437"/>
            <w:vAlign w:val="center"/>
          </w:tcPr>
          <w:p>
            <w:r/>
            <w:r>
              <w:rPr>
                <w:b w:val="0"/>
                <w:sz w:val="17"/>
              </w:rPr>
              <w:t>Kein zweiter USB-Timer</w:t>
            </w:r>
          </w:p>
        </w:tc>
        <w:tc>
          <w:tcPr>
            <w:tcW w:type="dxa" w:w="3437"/>
            <w:vAlign w:val="center"/>
          </w:tcPr>
          <w:p>
            <w:r/>
            <w:r>
              <w:rPr>
                <w:b w:val="0"/>
                <w:sz w:val="17"/>
              </w:rPr>
              <w:t>Erfüllt</w:t>
            </w:r>
          </w:p>
        </w:tc>
        <w:tc>
          <w:tcPr>
            <w:tcW w:type="dxa" w:w="3437"/>
            <w:vAlign w:val="center"/>
          </w:tcPr>
          <w:p>
            <w:r/>
            <w:r>
              <w:rPr>
                <w:b w:val="0"/>
                <w:sz w:val="17"/>
              </w:rPr>
              <w:t>Gimbalregelung nutzt Cockpit-Axis-Loop mit 80 ms.</w:t>
            </w:r>
          </w:p>
        </w:tc>
      </w:tr>
      <w:tr>
        <w:trPr>
          <w:cantSplit/>
        </w:trPr>
        <w:tc>
          <w:tcPr>
            <w:tcW w:type="dxa" w:w="3437"/>
            <w:vAlign w:val="center"/>
          </w:tcPr>
          <w:p>
            <w:r/>
            <w:r>
              <w:rPr>
                <w:b w:val="0"/>
                <w:sz w:val="17"/>
              </w:rPr>
              <w:t>Neutralisierung</w:t>
            </w:r>
          </w:p>
        </w:tc>
        <w:tc>
          <w:tcPr>
            <w:tcW w:type="dxa" w:w="3437"/>
            <w:vAlign w:val="center"/>
          </w:tcPr>
          <w:p>
            <w:r/>
            <w:r>
              <w:rPr>
                <w:b w:val="0"/>
                <w:sz w:val="17"/>
              </w:rPr>
              <w:t>Erfüllt</w:t>
            </w:r>
          </w:p>
        </w:tc>
        <w:tc>
          <w:tcPr>
            <w:tcW w:type="dxa" w:w="3437"/>
            <w:vAlign w:val="center"/>
          </w:tcPr>
          <w:p>
            <w:r/>
            <w:r>
              <w:rPr>
                <w:b w:val="0"/>
                <w:sz w:val="17"/>
              </w:rPr>
              <w:t>Ziel, Verbindungsverlust, stale/invalid telemetry und Cockpit-Unmount.</w:t>
            </w:r>
          </w:p>
        </w:tc>
      </w:tr>
      <w:tr>
        <w:trPr>
          <w:cantSplit/>
        </w:trPr>
        <w:tc>
          <w:tcPr>
            <w:tcW w:type="dxa" w:w="3437"/>
            <w:vAlign w:val="center"/>
          </w:tcPr>
          <w:p>
            <w:r/>
            <w:r>
              <w:rPr>
                <w:b w:val="0"/>
                <w:sz w:val="17"/>
              </w:rPr>
              <w:t>Vollständiger lokaler Vite-/APK-Build</w:t>
            </w:r>
          </w:p>
        </w:tc>
        <w:tc>
          <w:tcPr>
            <w:tcW w:type="dxa" w:w="3437"/>
            <w:vAlign w:val="center"/>
          </w:tcPr>
          <w:p>
            <w:r/>
            <w:r>
              <w:rPr>
                <w:b w:val="0"/>
                <w:sz w:val="17"/>
              </w:rPr>
              <w:t>Nicht in dieser Laufzeit vollständig reproduzierbar</w:t>
            </w:r>
          </w:p>
        </w:tc>
        <w:tc>
          <w:tcPr>
            <w:tcW w:type="dxa" w:w="3437"/>
            <w:vAlign w:val="center"/>
          </w:tcPr>
          <w:p>
            <w:r/>
            <w:r>
              <w:rPr>
                <w:b w:val="0"/>
                <w:sz w:val="17"/>
              </w:rPr>
              <w:t>Geliefertes node_modules enthält das Linux-Rollup-Optionalpaket nicht; Gradle-8.11.1-Distribution ist lokal nicht vorhanden. CI-Rebuild nach Einspielen empfohlen.</w:t>
            </w:r>
          </w:p>
        </w:tc>
      </w:tr>
    </w:tbl>
    <w:p>
      <w:pPr>
        <w:pStyle w:val="Heading1"/>
      </w:pPr>
      <w:r>
        <w:t>9. Auslieferung gemäß Projektrichtlinien</w:t>
      </w:r>
    </w:p>
    <w:p>
      <w:r>
        <w:t>Ausgeliefert werden ein vollständiges Codepaket mit unverändertem Root-Ordnernamen PotensicProxy_TAF, ein Paket nur mit den tatsächlich geänderten/neu benötigten Dateien in Originalstruktur, eine Patch-Datei, die englische BL_-Commit-Nachricht sowie diese Projektdokumentation als vorrangige PDF- und bearbeitbare DOCX-Fassung.</w:t>
      </w:r>
    </w:p>
    <w:p>
      <w:pPr>
        <w:pStyle w:val="Heading1"/>
      </w:pPr>
      <w:r>
        <w:t>10. Änderungshistorie</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vAlign w:val="center"/>
            <w:shd w:fill="365F91"/>
          </w:tcPr>
          <w:p>
            <w:r/>
            <w:r>
              <w:rPr>
                <w:b/>
                <w:color w:val="FFFFFF"/>
                <w:sz w:val="17"/>
              </w:rPr>
              <w:t>Version</w:t>
            </w:r>
          </w:p>
        </w:tc>
        <w:tc>
          <w:tcPr>
            <w:tcW w:type="dxa" w:w="2062"/>
            <w:vAlign w:val="center"/>
            <w:shd w:fill="365F91"/>
          </w:tcPr>
          <w:p>
            <w:r/>
            <w:r>
              <w:rPr>
                <w:b/>
                <w:color w:val="FFFFFF"/>
                <w:sz w:val="17"/>
              </w:rPr>
              <w:t>Datum</w:t>
            </w:r>
          </w:p>
        </w:tc>
        <w:tc>
          <w:tcPr>
            <w:tcW w:type="dxa" w:w="2062"/>
            <w:vAlign w:val="center"/>
            <w:shd w:fill="365F91"/>
          </w:tcPr>
          <w:p>
            <w:r/>
            <w:r>
              <w:rPr>
                <w:b/>
                <w:color w:val="FFFFFF"/>
                <w:sz w:val="17"/>
              </w:rPr>
              <w:t>Bearbeiter</w:t>
            </w:r>
          </w:p>
        </w:tc>
        <w:tc>
          <w:tcPr>
            <w:tcW w:type="dxa" w:w="2062"/>
            <w:vAlign w:val="center"/>
            <w:shd w:fill="365F91"/>
          </w:tcPr>
          <w:p>
            <w:r/>
            <w:r>
              <w:rPr>
                <w:b/>
                <w:color w:val="FFFFFF"/>
                <w:sz w:val="17"/>
              </w:rPr>
              <w:t>Status</w:t>
            </w:r>
          </w:p>
        </w:tc>
        <w:tc>
          <w:tcPr>
            <w:tcW w:type="dxa" w:w="2062"/>
            <w:vAlign w:val="center"/>
            <w:shd w:fill="365F91"/>
          </w:tcPr>
          <w:p>
            <w:r/>
            <w:r>
              <w:rPr>
                <w:b/>
                <w:color w:val="FFFFFF"/>
                <w:sz w:val="17"/>
              </w:rPr>
              <w:t>Änderung</w:t>
            </w:r>
          </w:p>
        </w:tc>
      </w:tr>
      <w:tr>
        <w:trPr>
          <w:cantSplit/>
        </w:trPr>
        <w:tc>
          <w:tcPr>
            <w:tcW w:type="dxa" w:w="2062"/>
            <w:vAlign w:val="center"/>
          </w:tcPr>
          <w:p>
            <w:r/>
            <w:r>
              <w:rPr>
                <w:b w:val="0"/>
                <w:sz w:val="17"/>
              </w:rPr>
              <w:t>v1.0</w:t>
            </w:r>
          </w:p>
        </w:tc>
        <w:tc>
          <w:tcPr>
            <w:tcW w:type="dxa" w:w="2062"/>
            <w:vAlign w:val="center"/>
          </w:tcPr>
          <w:p>
            <w:r/>
            <w:r>
              <w:rPr>
                <w:b w:val="0"/>
                <w:sz w:val="17"/>
              </w:rPr>
              <w:t>2026-10-02</w:t>
            </w:r>
          </w:p>
        </w:tc>
        <w:tc>
          <w:tcPr>
            <w:tcW w:type="dxa" w:w="2062"/>
            <w:vAlign w:val="center"/>
          </w:tcPr>
          <w:p>
            <w:r/>
            <w:r>
              <w:rPr>
                <w:b w:val="0"/>
                <w:sz w:val="17"/>
              </w:rPr>
              <w:t>OpenAI / ChatGPT</w:t>
            </w:r>
          </w:p>
        </w:tc>
        <w:tc>
          <w:tcPr>
            <w:tcW w:type="dxa" w:w="2062"/>
            <w:vAlign w:val="center"/>
          </w:tcPr>
          <w:p>
            <w:r/>
            <w:r>
              <w:rPr>
                <w:b w:val="0"/>
                <w:sz w:val="17"/>
              </w:rPr>
              <w:t>Umgesetzt</w:t>
            </w:r>
          </w:p>
        </w:tc>
        <w:tc>
          <w:tcPr>
            <w:tcW w:type="dxa" w:w="2062"/>
            <w:vAlign w:val="center"/>
          </w:tcPr>
          <w:p>
            <w:r/>
            <w:r>
              <w:rPr>
                <w:b w:val="0"/>
                <w:sz w:val="17"/>
              </w:rPr>
              <w:t>SendCtrlData-Umstellung Start/Landung/RTH und erste Projektdokumentation.</w:t>
            </w:r>
          </w:p>
        </w:tc>
      </w:tr>
      <w:tr>
        <w:trPr>
          <w:cantSplit/>
        </w:trPr>
        <w:tc>
          <w:tcPr>
            <w:tcW w:type="dxa" w:w="2062"/>
            <w:vAlign w:val="center"/>
          </w:tcPr>
          <w:p>
            <w:r/>
            <w:r>
              <w:rPr>
                <w:b w:val="0"/>
                <w:sz w:val="17"/>
              </w:rPr>
              <w:t>v1.1</w:t>
            </w:r>
          </w:p>
        </w:tc>
        <w:tc>
          <w:tcPr>
            <w:tcW w:type="dxa" w:w="2062"/>
            <w:vAlign w:val="center"/>
          </w:tcPr>
          <w:p>
            <w:r/>
            <w:r>
              <w:rPr>
                <w:b w:val="0"/>
                <w:sz w:val="17"/>
              </w:rPr>
              <w:t>2026-10-02</w:t>
            </w:r>
          </w:p>
        </w:tc>
        <w:tc>
          <w:tcPr>
            <w:tcW w:type="dxa" w:w="2062"/>
            <w:vAlign w:val="center"/>
          </w:tcPr>
          <w:p>
            <w:r/>
            <w:r>
              <w:rPr>
                <w:b w:val="0"/>
                <w:sz w:val="17"/>
              </w:rPr>
              <w:t>OpenAI / ChatGPT</w:t>
            </w:r>
          </w:p>
        </w:tc>
        <w:tc>
          <w:tcPr>
            <w:tcW w:type="dxa" w:w="2062"/>
            <w:vAlign w:val="center"/>
          </w:tcPr>
          <w:p>
            <w:r/>
            <w:r>
              <w:rPr>
                <w:b w:val="0"/>
                <w:sz w:val="17"/>
              </w:rPr>
              <w:t>Umgesetzt / statisch geprüft</w:t>
            </w:r>
          </w:p>
        </w:tc>
        <w:tc>
          <w:tcPr>
            <w:tcW w:type="dxa" w:w="2062"/>
            <w:vAlign w:val="center"/>
          </w:tcPr>
          <w:p>
            <w:r/>
            <w:r>
              <w:rPr>
                <w:b w:val="0"/>
                <w:sz w:val="17"/>
              </w:rPr>
              <w:t>CI-Kotlinfehler korrigiert; RTH-Abbruch, Not-Aus-Dialog und stufenlose Gimbal-Sollwertregelung ergänzt; Version 0.957.</w:t>
            </w:r>
          </w:p>
        </w:tc>
      </w:tr>
    </w:tbl>
    <w:sectPr w:rsidR="00FC693F" w:rsidRPr="0006063C" w:rsidSect="00034616">
      <w:headerReference w:type="default" r:id="rId9"/>
      <w:footerReference w:type="default" r:id="rId10"/>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PotensicProxy_TAF - Flugaktionen / Gimbal - 2026-10-02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PotensicProxy_TAF - Projektdokumentation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2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