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Uart_Esp32 - Projektdokumentation - Firmware - v0.23</w:t>
      </w:r>
    </w:p>
    <w:p>
      <w:r>
        <w:rPr>
          <w:b/>
        </w:rPr>
        <w:t>Projektname:</w:t>
      </w:r>
      <w:r>
        <w:t xml:space="preserve"> Uart_Esp32 </w:t>
      </w:r>
      <w:r>
        <w:rPr>
          <w:b/>
        </w:rPr>
        <w:t>Dokumentenart:</w:t>
      </w:r>
      <w:r>
        <w:t xml:space="preserve"> Projektdokumentation </w:t>
      </w:r>
      <w:r>
        <w:rPr>
          <w:b/>
        </w:rPr>
        <w:t>Thema:</w:t>
      </w:r>
      <w:r>
        <w:t xml:space="preserve"> UART Image-Transfer - stabiles Quellenfeld und Browser-Cache-Schutz </w:t>
      </w:r>
      <w:r>
        <w:rPr>
          <w:b/>
        </w:rPr>
        <w:t>Version:</w:t>
      </w:r>
      <w:r>
        <w:t xml:space="preserve"> v0.23 </w:t>
      </w:r>
      <w:r>
        <w:rPr>
          <w:b/>
        </w:rPr>
        <w:t>Datum:</w:t>
      </w:r>
      <w:r>
        <w:t xml:space="preserve"> 2026-09-22 </w:t>
      </w:r>
      <w:r>
        <w:rPr>
          <w:b/>
        </w:rPr>
        <w:t>Status:</w:t>
      </w:r>
      <w:r>
        <w:t xml:space="preserve"> Entwurf / Implementierung vorbereitet, Hardwaretest offen </w:t>
      </w:r>
      <w:r>
        <w:rPr>
          <w:b/>
        </w:rPr>
        <w:t>Verantwortlich:</w:t>
      </w:r>
      <w:r>
        <w:t xml:space="preserve"> OpenAI ChatGPT </w:t>
      </w:r>
      <w:r>
        <w:rPr>
          <w:b/>
        </w:rPr>
        <w:t>Ablageort:</w:t>
      </w:r>
      <w:r>
        <w:t xml:space="preserve"> Uart_ESP32/docs</w:t>
      </w:r>
    </w:p>
    <w:p>
      <w:pPr>
        <w:pStyle w:val="Heading1"/>
      </w:pPr>
      <w:r>
        <w:t>1. Ziel der Änderung</w:t>
      </w:r>
    </w:p>
    <w:p>
      <w:r>
        <w:t xml:space="preserve">In v0.22 blieb das Quellenfeld im Menü </w:t>
      </w:r>
      <w:r>
        <w:rPr>
          <w:b/>
        </w:rPr>
        <w:t>UART Image-Transfer</w:t>
      </w:r>
      <w:r>
        <w:t xml:space="preserve"> in der Praxis weiterhin unzuverlässig bedienbar. Obwohl das Feld optisch editierbar war, konnte es je nach Browserzustand, gespeichertem Altwert oder Statusaktualisierung wieder auf </w:t>
      </w:r>
      <w:r>
        <w:rPr>
          <w:rFonts w:ascii="DejaVu Sans Mono" w:hAnsi="DejaVu Sans Mono"/>
          <w:sz w:val="18"/>
        </w:rPr>
        <w:t>/dev/mtd7ro</w:t>
      </w:r>
      <w:r>
        <w:t xml:space="preserve"> zurückfallen. Für den vorgesehenen Snapshot-Workflow muss jedoch zuverlässig </w:t>
      </w:r>
      <w:r>
        <w:rPr>
          <w:rFonts w:ascii="DejaVu Sans Mono" w:hAnsi="DejaVu Sans Mono"/>
          <w:sz w:val="18"/>
        </w:rPr>
        <w:t>/tmp/mtd7.img.gz</w:t>
      </w:r>
      <w:r>
        <w:t xml:space="preserve"> als Quelle einstellbar bleiben.</w:t>
      </w:r>
    </w:p>
    <w:p>
      <w:r>
        <w:t>v0.23 trennt deshalb das Eingabefeld vollständig von der laufenden Statusanzeige. Der Benutzerwert im Feld ist der geplante nächste Transfer. Der Statusbereich zeigt nur die aktuell bzw. zuletzt von der Firmware verwendete Quelle.</w:t>
      </w:r>
    </w:p>
    <w:p>
      <w:pPr>
        <w:pStyle w:val="Heading1"/>
      </w:pPr>
      <w:r>
        <w:t>2. Änderungshistorie</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vAlign w:val="top"/>
            <w:tcMar>
              <w:top w:w="70" w:type="dxa"/>
              <w:bottom w:w="70" w:type="dxa"/>
              <w:start w:w="70" w:type="dxa"/>
              <w:end w:w="70" w:type="dxa"/>
            </w:tcMar>
            <w:shd w:fill="244F7A"/>
          </w:tcPr>
          <w:p>
            <w:r>
              <w:rPr>
                <w:b/>
                <w:color w:val="FFFFFF"/>
              </w:rPr>
            </w:r>
            <w:r>
              <w:rPr>
                <w:b/>
                <w:color w:val="FFFFFF"/>
              </w:rPr>
              <w:t>Version</w:t>
            </w:r>
          </w:p>
        </w:tc>
        <w:tc>
          <w:tcPr>
            <w:tcW w:type="dxa" w:w="2040"/>
            <w:vAlign w:val="top"/>
            <w:tcMar>
              <w:top w:w="70" w:type="dxa"/>
              <w:bottom w:w="70" w:type="dxa"/>
              <w:start w:w="70" w:type="dxa"/>
              <w:end w:w="70" w:type="dxa"/>
            </w:tcMar>
            <w:shd w:fill="244F7A"/>
          </w:tcPr>
          <w:p>
            <w:r>
              <w:rPr>
                <w:b/>
                <w:color w:val="FFFFFF"/>
              </w:rPr>
            </w:r>
            <w:r>
              <w:rPr>
                <w:b/>
                <w:color w:val="FFFFFF"/>
              </w:rPr>
              <w:t>Datum</w:t>
            </w:r>
          </w:p>
        </w:tc>
        <w:tc>
          <w:tcPr>
            <w:tcW w:type="dxa" w:w="2040"/>
            <w:vAlign w:val="top"/>
            <w:tcMar>
              <w:top w:w="70" w:type="dxa"/>
              <w:bottom w:w="70" w:type="dxa"/>
              <w:start w:w="70" w:type="dxa"/>
              <w:end w:w="70" w:type="dxa"/>
            </w:tcMar>
            <w:shd w:fill="244F7A"/>
          </w:tcPr>
          <w:p>
            <w:r>
              <w:rPr>
                <w:b/>
                <w:color w:val="FFFFFF"/>
              </w:rPr>
            </w:r>
            <w:r>
              <w:rPr>
                <w:b/>
                <w:color w:val="FFFFFF"/>
              </w:rPr>
              <w:t>Bearbeiter</w:t>
            </w:r>
          </w:p>
        </w:tc>
        <w:tc>
          <w:tcPr>
            <w:tcW w:type="dxa" w:w="2040"/>
            <w:vAlign w:val="top"/>
            <w:tcMar>
              <w:top w:w="70" w:type="dxa"/>
              <w:bottom w:w="70" w:type="dxa"/>
              <w:start w:w="70" w:type="dxa"/>
              <w:end w:w="70" w:type="dxa"/>
            </w:tcMar>
            <w:shd w:fill="244F7A"/>
          </w:tcPr>
          <w:p>
            <w:r>
              <w:rPr>
                <w:b/>
                <w:color w:val="FFFFFF"/>
              </w:rPr>
            </w:r>
            <w:r>
              <w:rPr>
                <w:b/>
                <w:color w:val="FFFFFF"/>
              </w:rPr>
              <w:t>Status</w:t>
            </w:r>
          </w:p>
        </w:tc>
        <w:tc>
          <w:tcPr>
            <w:tcW w:type="dxa" w:w="2040"/>
            <w:vAlign w:val="top"/>
            <w:tcMar>
              <w:top w:w="70" w:type="dxa"/>
              <w:bottom w:w="70" w:type="dxa"/>
              <w:start w:w="70" w:type="dxa"/>
              <w:end w:w="70" w:type="dxa"/>
            </w:tcMar>
            <w:shd w:fill="244F7A"/>
          </w:tcPr>
          <w:p>
            <w:r>
              <w:rPr>
                <w:b/>
                <w:color w:val="FFFFFF"/>
              </w:rPr>
            </w:r>
            <w:r>
              <w:rPr>
                <w:b/>
                <w:color w:val="FFFFFF"/>
              </w:rPr>
              <w:t>Änderung</w:t>
            </w:r>
          </w:p>
        </w:tc>
      </w:tr>
      <w:tr>
        <w:tc>
          <w:tcPr>
            <w:tcW w:type="dxa" w:w="2040"/>
            <w:vAlign w:val="top"/>
            <w:tcMar>
              <w:top w:w="70" w:type="dxa"/>
              <w:bottom w:w="70" w:type="dxa"/>
              <w:start w:w="70" w:type="dxa"/>
              <w:end w:w="70" w:type="dxa"/>
            </w:tcMar>
          </w:tcPr>
          <w:p>
            <w:r/>
            <w:r>
              <w:t>v0.20</w:t>
            </w:r>
          </w:p>
        </w:tc>
        <w:tc>
          <w:tcPr>
            <w:tcW w:type="dxa" w:w="2040"/>
            <w:vAlign w:val="top"/>
            <w:tcMar>
              <w:top w:w="70" w:type="dxa"/>
              <w:bottom w:w="70" w:type="dxa"/>
              <w:start w:w="70" w:type="dxa"/>
              <w:end w:w="70" w:type="dxa"/>
            </w:tcMar>
          </w:tcPr>
          <w:p>
            <w:r/>
            <w:r>
              <w:t>2026-09-21</w:t>
            </w:r>
          </w:p>
        </w:tc>
        <w:tc>
          <w:tcPr>
            <w:tcW w:type="dxa" w:w="2040"/>
            <w:vAlign w:val="top"/>
            <w:tcMar>
              <w:top w:w="70" w:type="dxa"/>
              <w:bottom w:w="70" w:type="dxa"/>
              <w:start w:w="70" w:type="dxa"/>
              <w:end w:w="70" w:type="dxa"/>
            </w:tcMar>
          </w:tcPr>
          <w:p>
            <w:r/>
            <w:r>
              <w:t>OpenAI ChatGPT</w:t>
            </w:r>
          </w:p>
        </w:tc>
        <w:tc>
          <w:tcPr>
            <w:tcW w:type="dxa" w:w="2040"/>
            <w:vAlign w:val="top"/>
            <w:tcMar>
              <w:top w:w="70" w:type="dxa"/>
              <w:bottom w:w="70" w:type="dxa"/>
              <w:start w:w="70" w:type="dxa"/>
              <w:end w:w="70" w:type="dxa"/>
            </w:tcMar>
          </w:tcPr>
          <w:p>
            <w:r/>
            <w:r>
              <w:t>Entwurf</w:t>
            </w:r>
          </w:p>
        </w:tc>
        <w:tc>
          <w:tcPr>
            <w:tcW w:type="dxa" w:w="2040"/>
            <w:vAlign w:val="top"/>
            <w:tcMar>
              <w:top w:w="70" w:type="dxa"/>
              <w:bottom w:w="70" w:type="dxa"/>
              <w:start w:w="70" w:type="dxa"/>
              <w:end w:w="70" w:type="dxa"/>
            </w:tcMar>
          </w:tcPr>
          <w:p>
            <w:r/>
            <w:r>
              <w:t xml:space="preserve">Snapshot-Dateien aus </w:t>
            </w:r>
            <w:r>
              <w:rPr>
                <w:rFonts w:ascii="DejaVu Sans Mono" w:hAnsi="DejaVu Sans Mono"/>
                <w:sz w:val="18"/>
              </w:rPr>
              <w:t>/tmp</w:t>
            </w:r>
            <w:r>
              <w:t xml:space="preserve"> und </w:t>
            </w:r>
            <w:r>
              <w:rPr>
                <w:rFonts w:ascii="DejaVu Sans Mono" w:hAnsi="DejaVu Sans Mono"/>
                <w:sz w:val="18"/>
              </w:rPr>
              <w:t>/var/tmp</w:t>
            </w:r>
            <w:r>
              <w:t xml:space="preserve"> als Image-Transfer-Quelle erlaubt.</w:t>
            </w:r>
          </w:p>
        </w:tc>
      </w:tr>
      <w:tr>
        <w:tc>
          <w:tcPr>
            <w:tcW w:type="dxa" w:w="2040"/>
            <w:vAlign w:val="top"/>
            <w:tcMar>
              <w:top w:w="70" w:type="dxa"/>
              <w:bottom w:w="70" w:type="dxa"/>
              <w:start w:w="70" w:type="dxa"/>
              <w:end w:w="70" w:type="dxa"/>
            </w:tcMar>
          </w:tcPr>
          <w:p>
            <w:r/>
            <w:r>
              <w:t>v0.21</w:t>
            </w:r>
          </w:p>
        </w:tc>
        <w:tc>
          <w:tcPr>
            <w:tcW w:type="dxa" w:w="2040"/>
            <w:vAlign w:val="top"/>
            <w:tcMar>
              <w:top w:w="70" w:type="dxa"/>
              <w:bottom w:w="70" w:type="dxa"/>
              <w:start w:w="70" w:type="dxa"/>
              <w:end w:w="70" w:type="dxa"/>
            </w:tcMar>
          </w:tcPr>
          <w:p>
            <w:r/>
            <w:r>
              <w:t>2026-09-22</w:t>
            </w:r>
          </w:p>
        </w:tc>
        <w:tc>
          <w:tcPr>
            <w:tcW w:type="dxa" w:w="2040"/>
            <w:vAlign w:val="top"/>
            <w:tcMar>
              <w:top w:w="70" w:type="dxa"/>
              <w:bottom w:w="70" w:type="dxa"/>
              <w:start w:w="70" w:type="dxa"/>
              <w:end w:w="70" w:type="dxa"/>
            </w:tcMar>
          </w:tcPr>
          <w:p>
            <w:r/>
            <w:r>
              <w:t>OpenAI ChatGPT</w:t>
            </w:r>
          </w:p>
        </w:tc>
        <w:tc>
          <w:tcPr>
            <w:tcW w:type="dxa" w:w="2040"/>
            <w:vAlign w:val="top"/>
            <w:tcMar>
              <w:top w:w="70" w:type="dxa"/>
              <w:bottom w:w="70" w:type="dxa"/>
              <w:start w:w="70" w:type="dxa"/>
              <w:end w:w="70" w:type="dxa"/>
            </w:tcMar>
          </w:tcPr>
          <w:p>
            <w:r/>
            <w:r>
              <w:t>Entwurf</w:t>
            </w:r>
          </w:p>
        </w:tc>
        <w:tc>
          <w:tcPr>
            <w:tcW w:type="dxa" w:w="2040"/>
            <w:vAlign w:val="top"/>
            <w:tcMar>
              <w:top w:w="70" w:type="dxa"/>
              <w:bottom w:w="70" w:type="dxa"/>
              <w:start w:w="70" w:type="dxa"/>
              <w:end w:w="70" w:type="dxa"/>
            </w:tcMar>
          </w:tcPr>
          <w:p>
            <w:r/>
            <w:r>
              <w:t>Erste Korrektur gegen Überschreiben des Quellenfelds durch Status-Polling.</w:t>
            </w:r>
          </w:p>
        </w:tc>
      </w:tr>
      <w:tr>
        <w:tc>
          <w:tcPr>
            <w:tcW w:type="dxa" w:w="2040"/>
            <w:vAlign w:val="top"/>
            <w:tcMar>
              <w:top w:w="70" w:type="dxa"/>
              <w:bottom w:w="70" w:type="dxa"/>
              <w:start w:w="70" w:type="dxa"/>
              <w:end w:w="70" w:type="dxa"/>
            </w:tcMar>
          </w:tcPr>
          <w:p>
            <w:r/>
            <w:r>
              <w:t>v0.22</w:t>
            </w:r>
          </w:p>
        </w:tc>
        <w:tc>
          <w:tcPr>
            <w:tcW w:type="dxa" w:w="2040"/>
            <w:vAlign w:val="top"/>
            <w:tcMar>
              <w:top w:w="70" w:type="dxa"/>
              <w:bottom w:w="70" w:type="dxa"/>
              <w:start w:w="70" w:type="dxa"/>
              <w:end w:w="70" w:type="dxa"/>
            </w:tcMar>
          </w:tcPr>
          <w:p>
            <w:r/>
            <w:r>
              <w:t>2026-09-22</w:t>
            </w:r>
          </w:p>
        </w:tc>
        <w:tc>
          <w:tcPr>
            <w:tcW w:type="dxa" w:w="2040"/>
            <w:vAlign w:val="top"/>
            <w:tcMar>
              <w:top w:w="70" w:type="dxa"/>
              <w:bottom w:w="70" w:type="dxa"/>
              <w:start w:w="70" w:type="dxa"/>
              <w:end w:w="70" w:type="dxa"/>
            </w:tcMar>
          </w:tcPr>
          <w:p>
            <w:r/>
            <w:r>
              <w:t>OpenAI ChatGPT</w:t>
            </w:r>
          </w:p>
        </w:tc>
        <w:tc>
          <w:tcPr>
            <w:tcW w:type="dxa" w:w="2040"/>
            <w:vAlign w:val="top"/>
            <w:tcMar>
              <w:top w:w="70" w:type="dxa"/>
              <w:bottom w:w="70" w:type="dxa"/>
              <w:start w:w="70" w:type="dxa"/>
              <w:end w:w="70" w:type="dxa"/>
            </w:tcMar>
          </w:tcPr>
          <w:p>
            <w:r/>
            <w:r>
              <w:t>Entwurf</w:t>
            </w:r>
          </w:p>
        </w:tc>
        <w:tc>
          <w:tcPr>
            <w:tcW w:type="dxa" w:w="2040"/>
            <w:vAlign w:val="top"/>
            <w:tcMar>
              <w:top w:w="70" w:type="dxa"/>
              <w:bottom w:w="70" w:type="dxa"/>
              <w:start w:w="70" w:type="dxa"/>
              <w:end w:w="70" w:type="dxa"/>
            </w:tcMar>
          </w:tcPr>
          <w:p>
            <w:r/>
            <w:r>
              <w:t>UART-Konsole gegen Mehrfachsendungen abgesichert; Quellenfeld lokal gespeichert.</w:t>
            </w:r>
          </w:p>
        </w:tc>
      </w:tr>
      <w:tr>
        <w:tc>
          <w:tcPr>
            <w:tcW w:type="dxa" w:w="2040"/>
            <w:vAlign w:val="top"/>
            <w:tcMar>
              <w:top w:w="70" w:type="dxa"/>
              <w:bottom w:w="70" w:type="dxa"/>
              <w:start w:w="70" w:type="dxa"/>
              <w:end w:w="70" w:type="dxa"/>
            </w:tcMar>
          </w:tcPr>
          <w:p>
            <w:r/>
            <w:r>
              <w:t>v0.23</w:t>
            </w:r>
          </w:p>
        </w:tc>
        <w:tc>
          <w:tcPr>
            <w:tcW w:type="dxa" w:w="2040"/>
            <w:vAlign w:val="top"/>
            <w:tcMar>
              <w:top w:w="70" w:type="dxa"/>
              <w:bottom w:w="70" w:type="dxa"/>
              <w:start w:w="70" w:type="dxa"/>
              <w:end w:w="70" w:type="dxa"/>
            </w:tcMar>
          </w:tcPr>
          <w:p>
            <w:r/>
            <w:r>
              <w:t>2026-09-22</w:t>
            </w:r>
          </w:p>
        </w:tc>
        <w:tc>
          <w:tcPr>
            <w:tcW w:type="dxa" w:w="2040"/>
            <w:vAlign w:val="top"/>
            <w:tcMar>
              <w:top w:w="70" w:type="dxa"/>
              <w:bottom w:w="70" w:type="dxa"/>
              <w:start w:w="70" w:type="dxa"/>
              <w:end w:w="70" w:type="dxa"/>
            </w:tcMar>
          </w:tcPr>
          <w:p>
            <w:r/>
            <w:r>
              <w:t>OpenAI ChatGPT</w:t>
            </w:r>
          </w:p>
        </w:tc>
        <w:tc>
          <w:tcPr>
            <w:tcW w:type="dxa" w:w="2040"/>
            <w:vAlign w:val="top"/>
            <w:tcMar>
              <w:top w:w="70" w:type="dxa"/>
              <w:bottom w:w="70" w:type="dxa"/>
              <w:start w:w="70" w:type="dxa"/>
              <w:end w:w="70" w:type="dxa"/>
            </w:tcMar>
          </w:tcPr>
          <w:p>
            <w:r/>
            <w:r>
              <w:t>Entwurf</w:t>
            </w:r>
          </w:p>
        </w:tc>
        <w:tc>
          <w:tcPr>
            <w:tcW w:type="dxa" w:w="2040"/>
            <w:vAlign w:val="top"/>
            <w:tcMar>
              <w:top w:w="70" w:type="dxa"/>
              <w:bottom w:w="70" w:type="dxa"/>
              <w:start w:w="70" w:type="dxa"/>
              <w:end w:w="70" w:type="dxa"/>
            </w:tcMar>
          </w:tcPr>
          <w:p>
            <w:r/>
            <w:r>
              <w:t>Quellenfeld vollständig vom Status-Polling getrennt, versionierter Browser-Speicher, Snapshot-Standardquelle und Cache-Schutz ergänzt.</w:t>
            </w:r>
          </w:p>
        </w:tc>
      </w:tr>
    </w:tbl>
    <w:p/>
    <w:p>
      <w:pPr>
        <w:pStyle w:val="Heading1"/>
      </w:pPr>
      <w:r>
        <w:t>3. Umgesetzte Firmware-Änderungen</w:t>
      </w:r>
    </w:p>
    <w:p>
      <w:pPr>
        <w:pStyle w:val="Heading2"/>
      </w:pPr>
      <w:r>
        <w:t>3.1 Versionierung</w:t>
      </w:r>
    </w:p>
    <w:p>
      <w:r>
        <w:t xml:space="preserve">Die Firmwarekennung wurde von </w:t>
      </w:r>
      <w:r>
        <w:rPr>
          <w:rFonts w:ascii="DejaVu Sans Mono" w:hAnsi="DejaVu Sans Mono"/>
          <w:sz w:val="18"/>
        </w:rPr>
        <w:t>v0.22</w:t>
      </w:r>
      <w:r>
        <w:t xml:space="preserve"> auf </w:t>
      </w:r>
      <w:r>
        <w:rPr>
          <w:rFonts w:ascii="DejaVu Sans Mono" w:hAnsi="DejaVu Sans Mono"/>
          <w:sz w:val="18"/>
        </w:rPr>
        <w:t>v0.23</w:t>
      </w:r>
      <w:r>
        <w:t xml:space="preserve"> angehoben. Zusätzlich wurde </w:t>
      </w:r>
      <w:r>
        <w:rPr>
          <w:rFonts w:ascii="DejaVu Sans Mono" w:hAnsi="DejaVu Sans Mono"/>
          <w:sz w:val="18"/>
        </w:rPr>
        <w:t>UART_FW_VERSION</w:t>
      </w:r>
      <w:r>
        <w:t xml:space="preserve"> von </w:t>
      </w:r>
      <w:r>
        <w:rPr>
          <w:rFonts w:ascii="DejaVu Sans Mono" w:hAnsi="DejaVu Sans Mono"/>
          <w:sz w:val="18"/>
        </w:rPr>
        <w:t>0.22.0</w:t>
      </w:r>
      <w:r>
        <w:t xml:space="preserve"> auf </w:t>
      </w:r>
      <w:r>
        <w:rPr>
          <w:rFonts w:ascii="DejaVu Sans Mono" w:hAnsi="DejaVu Sans Mono"/>
          <w:sz w:val="18"/>
        </w:rPr>
        <w:t>0.23.0</w:t>
      </w:r>
      <w:r>
        <w:t xml:space="preserve"> gesetzt.</w:t>
      </w:r>
    </w:p>
    <w:p>
      <w:pPr>
        <w:pStyle w:val="Heading2"/>
      </w:pPr>
      <w:r>
        <w:t>3.2 Stabiler Quellenwert</w:t>
      </w:r>
    </w:p>
    <w:p>
      <w:r>
        <w:t>Das Quellenfeld verwendet jetzt einen neuen lokalen Browser-Schlüssel:</w:t>
      </w:r>
    </w:p>
    <w:p>
      <w:pPr>
        <w:pStyle w:val="CodeBlock"/>
      </w:pPr>
      <w:r>
        <w:t>uartImageSourceV23</w:t>
      </w:r>
    </w:p>
    <w:p>
      <w:r>
        <w:t>Damit werden alte gespeicherte Werte aus früheren Versionen nicht mehr automatisch als Startwert übernommen. Standardquelle für den neuen Ablauf ist:</w:t>
      </w:r>
    </w:p>
    <w:p>
      <w:pPr>
        <w:pStyle w:val="CodeBlock"/>
      </w:pPr>
      <w:r>
        <w:t>/tmp/mtd7.img.gz</w:t>
      </w:r>
    </w:p>
    <w:p>
      <w:pPr>
        <w:pStyle w:val="Heading2"/>
      </w:pPr>
      <w:r>
        <w:t>3.3 Status-Polling darf das Feld nicht mehr überschreiben</w:t>
      </w:r>
    </w:p>
    <w:p>
      <w:r>
        <w:t xml:space="preserve">Die Image-Transfer-Seite aktualisiert weiterhin den Statusbereich alle 400 ms. Das Eingabefeld selbst wird dabei nicht mehr aus </w:t>
      </w:r>
      <w:r>
        <w:rPr>
          <w:rFonts w:ascii="DejaVu Sans Mono" w:hAnsi="DejaVu Sans Mono"/>
          <w:sz w:val="18"/>
        </w:rPr>
        <w:t>status.source</w:t>
      </w:r>
      <w:r>
        <w:t xml:space="preserve"> beschrieben.</w:t>
      </w:r>
    </w:p>
    <w:p>
      <w:r>
        <w:t>Damit sind diese beiden Werte getrennt:</w:t>
      </w:r>
    </w:p>
    <w:tbl>
      <w:tblPr>
        <w:tblStyle w:val="TableGrid"/>
        <w:tblW w:type="auto" w:w="0"/>
        <w:jc w:val="center"/>
        <w:tblLook w:firstColumn="1" w:firstRow="1" w:lastColumn="0" w:lastRow="0" w:noHBand="0" w:noVBand="1" w:val="04A0"/>
      </w:tblPr>
      <w:tblGrid>
        <w:gridCol w:w="5100"/>
        <w:gridCol w:w="5100"/>
      </w:tblGrid>
      <w:tr>
        <w:tc>
          <w:tcPr>
            <w:tcW w:type="dxa" w:w="5100"/>
            <w:vAlign w:val="top"/>
            <w:tcMar>
              <w:top w:w="70" w:type="dxa"/>
              <w:bottom w:w="70" w:type="dxa"/>
              <w:start w:w="70" w:type="dxa"/>
              <w:end w:w="70" w:type="dxa"/>
            </w:tcMar>
            <w:shd w:fill="244F7A"/>
          </w:tcPr>
          <w:p>
            <w:r>
              <w:rPr>
                <w:b/>
                <w:color w:val="FFFFFF"/>
              </w:rPr>
            </w:r>
            <w:r>
              <w:rPr>
                <w:b/>
                <w:color w:val="FFFFFF"/>
              </w:rPr>
              <w:t>Bereich</w:t>
            </w:r>
          </w:p>
        </w:tc>
        <w:tc>
          <w:tcPr>
            <w:tcW w:type="dxa" w:w="5100"/>
            <w:vAlign w:val="top"/>
            <w:tcMar>
              <w:top w:w="70" w:type="dxa"/>
              <w:bottom w:w="70" w:type="dxa"/>
              <w:start w:w="70" w:type="dxa"/>
              <w:end w:w="70" w:type="dxa"/>
            </w:tcMar>
            <w:shd w:fill="244F7A"/>
          </w:tcPr>
          <w:p>
            <w:r>
              <w:rPr>
                <w:b/>
                <w:color w:val="FFFFFF"/>
              </w:rPr>
            </w:r>
            <w:r>
              <w:rPr>
                <w:b/>
                <w:color w:val="FFFFFF"/>
              </w:rPr>
              <w:t>Bedeutung</w:t>
            </w:r>
          </w:p>
        </w:tc>
      </w:tr>
      <w:tr>
        <w:tc>
          <w:tcPr>
            <w:tcW w:type="dxa" w:w="5100"/>
            <w:vAlign w:val="top"/>
            <w:tcMar>
              <w:top w:w="70" w:type="dxa"/>
              <w:bottom w:w="70" w:type="dxa"/>
              <w:start w:w="70" w:type="dxa"/>
              <w:end w:w="70" w:type="dxa"/>
            </w:tcMar>
          </w:tcPr>
          <w:p>
            <w:r/>
            <w:r>
              <w:t>Quellen-Eingabefeld</w:t>
            </w:r>
          </w:p>
        </w:tc>
        <w:tc>
          <w:tcPr>
            <w:tcW w:type="dxa" w:w="5100"/>
            <w:vAlign w:val="top"/>
            <w:tcMar>
              <w:top w:w="70" w:type="dxa"/>
              <w:bottom w:w="70" w:type="dxa"/>
              <w:start w:w="70" w:type="dxa"/>
              <w:end w:w="70" w:type="dxa"/>
            </w:tcMar>
          </w:tcPr>
          <w:p>
            <w:r/>
            <w:r>
              <w:t>Quelle für den nächsten Transfer</w:t>
            </w:r>
          </w:p>
        </w:tc>
      </w:tr>
      <w:tr>
        <w:tc>
          <w:tcPr>
            <w:tcW w:type="dxa" w:w="5100"/>
            <w:vAlign w:val="top"/>
            <w:tcMar>
              <w:top w:w="70" w:type="dxa"/>
              <w:bottom w:w="70" w:type="dxa"/>
              <w:start w:w="70" w:type="dxa"/>
              <w:end w:w="70" w:type="dxa"/>
            </w:tcMar>
          </w:tcPr>
          <w:p>
            <w:r/>
            <w:r>
              <w:t>Statusanzeige Quelle</w:t>
            </w:r>
          </w:p>
        </w:tc>
        <w:tc>
          <w:tcPr>
            <w:tcW w:type="dxa" w:w="5100"/>
            <w:vAlign w:val="top"/>
            <w:tcMar>
              <w:top w:w="70" w:type="dxa"/>
              <w:bottom w:w="70" w:type="dxa"/>
              <w:start w:w="70" w:type="dxa"/>
              <w:end w:w="70" w:type="dxa"/>
            </w:tcMar>
          </w:tcPr>
          <w:p>
            <w:r/>
            <w:r>
              <w:t>aktuell oder zuletzt verwendete Firmware-Quelle</w:t>
            </w:r>
          </w:p>
        </w:tc>
      </w:tr>
    </w:tbl>
    <w:p/>
    <w:p>
      <w:pPr>
        <w:pStyle w:val="Heading2"/>
      </w:pPr>
      <w:r>
        <w:t>3.4 Schnellbuttons</w:t>
      </w:r>
    </w:p>
    <w:p>
      <w:r>
        <w:t>Die Weboberfläche enthält nun bedienbare Schnellbuttons:</w:t>
      </w:r>
    </w:p>
    <w:p>
      <w:pPr>
        <w:pStyle w:val="CodeBlock"/>
      </w:pPr>
      <w:r>
        <w:t>Snapshot /tmp/mtd7.img.gz einsetzen</w:t>
        <w:br/>
        <w:t>Live-MTD /dev/mtd7ro einsetzen</w:t>
        <w:br/>
        <w:t>Feld leeren</w:t>
      </w:r>
    </w:p>
    <w:p>
      <w:r>
        <w:t xml:space="preserve">Die Buttons setzen ausschließlich das sichtbare Eingabefeld und speichern den Wert im Browser. Der Transfer startet erst, wenn der Benutzer ausdrücklich </w:t>
      </w:r>
      <w:r>
        <w:rPr>
          <w:rFonts w:ascii="DejaVu Sans Mono" w:hAnsi="DejaVu Sans Mono"/>
          <w:sz w:val="18"/>
        </w:rPr>
        <w:t>Image-Transfer starten</w:t>
      </w:r>
      <w:r>
        <w:t xml:space="preserve"> klickt.</w:t>
      </w:r>
    </w:p>
    <w:p>
      <w:pPr>
        <w:pStyle w:val="Heading2"/>
      </w:pPr>
      <w:r>
        <w:t>3.5 Browser-Cache-Schutz</w:t>
      </w:r>
    </w:p>
    <w:p>
      <w:r>
        <w:t xml:space="preserve">Der HTML-Kopf enthält zusätzliche No-Cache-Metadaten. Zusätzlich werden POST-Aufrufe der Image-Seite mit </w:t>
      </w:r>
      <w:r>
        <w:rPr>
          <w:rFonts w:ascii="DejaVu Sans Mono" w:hAnsi="DejaVu Sans Mono"/>
          <w:sz w:val="18"/>
        </w:rPr>
        <w:t>cache: no-store</w:t>
      </w:r>
      <w:r>
        <w:t xml:space="preserve"> gesendet. Dadurch sinkt das Risiko, dass ein Browser nach einem Firmware-Update alten JavaScript-Code weiterverwendet.</w:t>
      </w:r>
    </w:p>
    <w:p>
      <w:pPr>
        <w:pStyle w:val="Heading1"/>
      </w:pPr>
      <w:r>
        <w:t>4. Geänderte Dateien</w:t>
      </w:r>
    </w:p>
    <w:tbl>
      <w:tblPr>
        <w:tblStyle w:val="TableGrid"/>
        <w:tblW w:type="auto" w:w="0"/>
        <w:jc w:val="center"/>
        <w:tblLook w:firstColumn="1" w:firstRow="1" w:lastColumn="0" w:lastRow="0" w:noHBand="0" w:noVBand="1" w:val="04A0"/>
      </w:tblPr>
      <w:tblGrid>
        <w:gridCol w:w="5100"/>
        <w:gridCol w:w="5100"/>
      </w:tblGrid>
      <w:tr>
        <w:tc>
          <w:tcPr>
            <w:tcW w:type="dxa" w:w="5100"/>
            <w:vAlign w:val="top"/>
            <w:tcMar>
              <w:top w:w="70" w:type="dxa"/>
              <w:bottom w:w="70" w:type="dxa"/>
              <w:start w:w="70" w:type="dxa"/>
              <w:end w:w="70" w:type="dxa"/>
            </w:tcMar>
            <w:shd w:fill="244F7A"/>
          </w:tcPr>
          <w:p>
            <w:r>
              <w:rPr>
                <w:b/>
                <w:color w:val="FFFFFF"/>
              </w:rPr>
            </w:r>
            <w:r>
              <w:rPr>
                <w:b/>
                <w:color w:val="FFFFFF"/>
              </w:rPr>
              <w:t>Datei</w:t>
            </w:r>
          </w:p>
        </w:tc>
        <w:tc>
          <w:tcPr>
            <w:tcW w:type="dxa" w:w="5100"/>
            <w:vAlign w:val="top"/>
            <w:tcMar>
              <w:top w:w="70" w:type="dxa"/>
              <w:bottom w:w="70" w:type="dxa"/>
              <w:start w:w="70" w:type="dxa"/>
              <w:end w:w="70" w:type="dxa"/>
            </w:tcMar>
            <w:shd w:fill="244F7A"/>
          </w:tcPr>
          <w:p>
            <w:r>
              <w:rPr>
                <w:b/>
                <w:color w:val="FFFFFF"/>
              </w:rPr>
            </w:r>
            <w:r>
              <w:rPr>
                <w:b/>
                <w:color w:val="FFFFFF"/>
              </w:rPr>
              <w:t>Änderung</w:t>
            </w:r>
          </w:p>
        </w:tc>
      </w:tr>
      <w:tr>
        <w:tc>
          <w:tcPr>
            <w:tcW w:type="dxa" w:w="5100"/>
            <w:vAlign w:val="top"/>
            <w:tcMar>
              <w:top w:w="70" w:type="dxa"/>
              <w:bottom w:w="70" w:type="dxa"/>
              <w:start w:w="70" w:type="dxa"/>
              <w:end w:w="70" w:type="dxa"/>
            </w:tcMar>
          </w:tcPr>
          <w:p>
            <w:r/>
            <w:r>
              <w:rPr>
                <w:rFonts w:ascii="DejaVu Sans Mono" w:hAnsi="DejaVu Sans Mono"/>
                <w:sz w:val="18"/>
              </w:rPr>
              <w:t>src/main.cpp</w:t>
            </w:r>
          </w:p>
        </w:tc>
        <w:tc>
          <w:tcPr>
            <w:tcW w:type="dxa" w:w="5100"/>
            <w:vAlign w:val="top"/>
            <w:tcMar>
              <w:top w:w="70" w:type="dxa"/>
              <w:bottom w:w="70" w:type="dxa"/>
              <w:start w:w="70" w:type="dxa"/>
              <w:end w:w="70" w:type="dxa"/>
            </w:tcMar>
          </w:tcPr>
          <w:p>
            <w:r/>
            <w:r>
              <w:t>Firmwareversion v0.23; Image-Transfer-Seite mit versioniertem Quellenfeld, Schnellbuttons, No-Cache-Meta und cachefreien POSTs.</w:t>
            </w:r>
          </w:p>
        </w:tc>
      </w:tr>
      <w:tr>
        <w:tc>
          <w:tcPr>
            <w:tcW w:type="dxa" w:w="5100"/>
            <w:vAlign w:val="top"/>
            <w:tcMar>
              <w:top w:w="70" w:type="dxa"/>
              <w:bottom w:w="70" w:type="dxa"/>
              <w:start w:w="70" w:type="dxa"/>
              <w:end w:w="70" w:type="dxa"/>
            </w:tcMar>
          </w:tcPr>
          <w:p>
            <w:r/>
            <w:r>
              <w:rPr>
                <w:rFonts w:ascii="DejaVu Sans Mono" w:hAnsi="DejaVu Sans Mono"/>
                <w:sz w:val="18"/>
              </w:rPr>
              <w:t>src/ConfigDefaults.h</w:t>
            </w:r>
          </w:p>
        </w:tc>
        <w:tc>
          <w:tcPr>
            <w:tcW w:type="dxa" w:w="5100"/>
            <w:vAlign w:val="top"/>
            <w:tcMar>
              <w:top w:w="70" w:type="dxa"/>
              <w:bottom w:w="70" w:type="dxa"/>
              <w:start w:w="70" w:type="dxa"/>
              <w:end w:w="70" w:type="dxa"/>
            </w:tcMar>
          </w:tcPr>
          <w:p>
            <w:r/>
            <w:r>
              <w:t xml:space="preserve">OTA-/Firmwareversion auf </w:t>
            </w:r>
            <w:r>
              <w:rPr>
                <w:rFonts w:ascii="DejaVu Sans Mono" w:hAnsi="DejaVu Sans Mono"/>
                <w:sz w:val="18"/>
              </w:rPr>
              <w:t>0.23.0</w:t>
            </w:r>
            <w:r>
              <w:t xml:space="preserve"> gesetzt.</w:t>
            </w:r>
          </w:p>
        </w:tc>
      </w:tr>
      <w:tr>
        <w:tc>
          <w:tcPr>
            <w:tcW w:type="dxa" w:w="5100"/>
            <w:vAlign w:val="top"/>
            <w:tcMar>
              <w:top w:w="70" w:type="dxa"/>
              <w:bottom w:w="70" w:type="dxa"/>
              <w:start w:w="70" w:type="dxa"/>
              <w:end w:w="70" w:type="dxa"/>
            </w:tcMar>
          </w:tcPr>
          <w:p>
            <w:r/>
            <w:r>
              <w:rPr>
                <w:rFonts w:ascii="DejaVu Sans Mono" w:hAnsi="DejaVu Sans Mono"/>
                <w:sz w:val="18"/>
              </w:rPr>
              <w:t>docs/2026-09-22 - Uart_Esp32 - Projektdokumentation - Firmware - v0.23.*</w:t>
            </w:r>
          </w:p>
        </w:tc>
        <w:tc>
          <w:tcPr>
            <w:tcW w:type="dxa" w:w="5100"/>
            <w:vAlign w:val="top"/>
            <w:tcMar>
              <w:top w:w="70" w:type="dxa"/>
              <w:bottom w:w="70" w:type="dxa"/>
              <w:start w:w="70" w:type="dxa"/>
              <w:end w:w="70" w:type="dxa"/>
            </w:tcMar>
          </w:tcPr>
          <w:p>
            <w:r/>
            <w:r>
              <w:t>Dokumentation für diese Version.</w:t>
            </w:r>
          </w:p>
        </w:tc>
      </w:tr>
      <w:tr>
        <w:tc>
          <w:tcPr>
            <w:tcW w:type="dxa" w:w="5100"/>
            <w:vAlign w:val="top"/>
            <w:tcMar>
              <w:top w:w="70" w:type="dxa"/>
              <w:bottom w:w="70" w:type="dxa"/>
              <w:start w:w="70" w:type="dxa"/>
              <w:end w:w="70" w:type="dxa"/>
            </w:tcMar>
          </w:tcPr>
          <w:p>
            <w:r/>
            <w:r>
              <w:rPr>
                <w:rFonts w:ascii="DejaVu Sans Mono" w:hAnsi="DejaVu Sans Mono"/>
                <w:sz w:val="18"/>
              </w:rPr>
              <w:t>docs/2026-09-22 - Uart_Esp32 - Commit-Nachricht - Image-Quelle-Stabilisierung - v0.23.txt</w:t>
            </w:r>
          </w:p>
        </w:tc>
        <w:tc>
          <w:tcPr>
            <w:tcW w:type="dxa" w:w="5100"/>
            <w:vAlign w:val="top"/>
            <w:tcMar>
              <w:top w:w="70" w:type="dxa"/>
              <w:bottom w:w="70" w:type="dxa"/>
              <w:start w:w="70" w:type="dxa"/>
              <w:end w:w="70" w:type="dxa"/>
            </w:tcMar>
          </w:tcPr>
          <w:p>
            <w:r/>
            <w:r>
              <w:t>Englische Commit-Nachricht.</w:t>
            </w:r>
          </w:p>
        </w:tc>
      </w:tr>
      <w:tr>
        <w:tc>
          <w:tcPr>
            <w:tcW w:type="dxa" w:w="5100"/>
            <w:vAlign w:val="top"/>
            <w:tcMar>
              <w:top w:w="70" w:type="dxa"/>
              <w:bottom w:w="70" w:type="dxa"/>
              <w:start w:w="70" w:type="dxa"/>
              <w:end w:w="70" w:type="dxa"/>
            </w:tcMar>
          </w:tcPr>
          <w:p>
            <w:r/>
            <w:r>
              <w:rPr>
                <w:rFonts w:ascii="DejaVu Sans Mono" w:hAnsi="DejaVu Sans Mono"/>
                <w:sz w:val="18"/>
              </w:rPr>
              <w:t>VALIDATION_v0.23.txt</w:t>
            </w:r>
          </w:p>
        </w:tc>
        <w:tc>
          <w:tcPr>
            <w:tcW w:type="dxa" w:w="5100"/>
            <w:vAlign w:val="top"/>
            <w:tcMar>
              <w:top w:w="70" w:type="dxa"/>
              <w:bottom w:w="70" w:type="dxa"/>
              <w:start w:w="70" w:type="dxa"/>
              <w:end w:w="70" w:type="dxa"/>
            </w:tcMar>
          </w:tcPr>
          <w:p>
            <w:r/>
            <w:r>
              <w:t>Validierungsprotokoll.</w:t>
            </w:r>
          </w:p>
        </w:tc>
      </w:tr>
    </w:tbl>
    <w:p/>
    <w:p>
      <w:pPr>
        <w:pStyle w:val="Heading1"/>
      </w:pPr>
      <w:r>
        <w:t>5. Bedienablauf nach v0.23</w:t>
      </w:r>
    </w:p>
    <w:p>
      <w:pPr>
        <w:pStyle w:val="ListNumber"/>
      </w:pPr>
      <w:r>
        <w:t>In der UART-Konsole den Snapshot erzeugen:</w:t>
      </w:r>
    </w:p>
    <w:p>
      <w:pPr>
        <w:pStyle w:val="CodeBlock"/>
      </w:pPr>
      <w:r>
        <w:t>rm -f /tmp/mtd7.img /tmp/mtd7.img.gz /tmp/bx3blk &amp;&amp; sync &amp;&amp; df -h /tmp</w:t>
      </w:r>
    </w:p>
    <w:p>
      <w:pPr>
        <w:pStyle w:val="CodeBlock"/>
      </w:pPr>
      <w:r>
        <w:t>dd if=/dev/mtd7ro bs=32768 2&gt;/dev/null | gzip -c &gt; /tmp/mtd7.img.gz &amp;&amp; sync &amp;&amp; ls -l /tmp/mtd7.img.gz &amp;&amp; sha256sum /tmp/mtd7.img.gz</w:t>
      </w:r>
    </w:p>
    <w:p>
      <w:pPr>
        <w:pStyle w:val="ListNumber"/>
      </w:pPr>
      <w:r>
        <w:rPr>
          <w:rFonts w:ascii="DejaVu Sans Mono" w:hAnsi="DejaVu Sans Mono"/>
          <w:sz w:val="18"/>
        </w:rPr>
        <w:t>UART Image-Transfer</w:t>
      </w:r>
      <w:r>
        <w:t xml:space="preserve"> öffnen.</w:t>
      </w:r>
    </w:p>
    <w:p>
      <w:pPr>
        <w:pStyle w:val="ListNumber"/>
      </w:pPr>
      <w:r>
        <w:t xml:space="preserve">Als Quelle </w:t>
      </w:r>
      <w:r>
        <w:rPr>
          <w:rFonts w:ascii="DejaVu Sans Mono" w:hAnsi="DejaVu Sans Mono"/>
          <w:sz w:val="18"/>
        </w:rPr>
        <w:t>/tmp/mtd7.img.gz</w:t>
      </w:r>
      <w:r>
        <w:t xml:space="preserve"> verwenden oder den Snapshot-Schnellbutton drücken.</w:t>
      </w:r>
    </w:p>
    <w:p>
      <w:pPr>
        <w:pStyle w:val="ListNumber"/>
      </w:pPr>
      <w:r>
        <w:t xml:space="preserve">Startblock auf </w:t>
      </w:r>
      <w:r>
        <w:rPr>
          <w:rFonts w:ascii="DejaVu Sans Mono" w:hAnsi="DejaVu Sans Mono"/>
          <w:sz w:val="18"/>
        </w:rPr>
        <w:t>0</w:t>
      </w:r>
      <w:r>
        <w:t xml:space="preserve"> lassen.</w:t>
      </w:r>
    </w:p>
    <w:p>
      <w:pPr>
        <w:pStyle w:val="ListNumber"/>
      </w:pPr>
      <w:r>
        <w:rPr>
          <w:rFonts w:ascii="DejaVu Sans Mono" w:hAnsi="DejaVu Sans Mono"/>
          <w:sz w:val="18"/>
        </w:rPr>
        <w:t>Image-Transfer starten</w:t>
      </w:r>
      <w:r>
        <w:t xml:space="preserve"> klicken.</w:t>
      </w:r>
    </w:p>
    <w:p>
      <w:pPr>
        <w:pStyle w:val="ListNumber"/>
      </w:pPr>
      <w:r>
        <w:t>Nach dem Download die SHA256-Summe am PC gegen den in der Konsole angezeigten Wert vergleichen.</w:t>
      </w:r>
    </w:p>
    <w:p>
      <w:pPr>
        <w:pStyle w:val="Heading1"/>
      </w:pPr>
      <w:r>
        <w:t>6. Validierung</w:t>
      </w:r>
    </w:p>
    <w:tbl>
      <w:tblPr>
        <w:tblStyle w:val="TableGrid"/>
        <w:tblW w:type="auto" w:w="0"/>
        <w:jc w:val="center"/>
        <w:tblLook w:firstColumn="1" w:firstRow="1" w:lastColumn="0" w:lastRow="0" w:noHBand="0" w:noVBand="1" w:val="04A0"/>
      </w:tblPr>
      <w:tblGrid>
        <w:gridCol w:w="5100"/>
        <w:gridCol w:w="5100"/>
      </w:tblGrid>
      <w:tr>
        <w:tc>
          <w:tcPr>
            <w:tcW w:type="dxa" w:w="5100"/>
            <w:vAlign w:val="top"/>
            <w:tcMar>
              <w:top w:w="70" w:type="dxa"/>
              <w:bottom w:w="70" w:type="dxa"/>
              <w:start w:w="70" w:type="dxa"/>
              <w:end w:w="70" w:type="dxa"/>
            </w:tcMar>
            <w:shd w:fill="244F7A"/>
          </w:tcPr>
          <w:p>
            <w:r>
              <w:rPr>
                <w:b/>
                <w:color w:val="FFFFFF"/>
              </w:rPr>
            </w:r>
            <w:r>
              <w:rPr>
                <w:b/>
                <w:color w:val="FFFFFF"/>
              </w:rPr>
              <w:t>Prüfung</w:t>
            </w:r>
          </w:p>
        </w:tc>
        <w:tc>
          <w:tcPr>
            <w:tcW w:type="dxa" w:w="5100"/>
            <w:vAlign w:val="top"/>
            <w:tcMar>
              <w:top w:w="70" w:type="dxa"/>
              <w:bottom w:w="70" w:type="dxa"/>
              <w:start w:w="70" w:type="dxa"/>
              <w:end w:w="70" w:type="dxa"/>
            </w:tcMar>
            <w:shd w:fill="244F7A"/>
          </w:tcPr>
          <w:p>
            <w:r>
              <w:rPr>
                <w:b/>
                <w:color w:val="FFFFFF"/>
              </w:rPr>
            </w:r>
            <w:r>
              <w:rPr>
                <w:b/>
                <w:color w:val="FFFFFF"/>
              </w:rPr>
              <w:t>Ergebnis</w:t>
            </w:r>
          </w:p>
        </w:tc>
      </w:tr>
      <w:tr>
        <w:tc>
          <w:tcPr>
            <w:tcW w:type="dxa" w:w="5100"/>
            <w:vAlign w:val="top"/>
            <w:tcMar>
              <w:top w:w="70" w:type="dxa"/>
              <w:bottom w:w="70" w:type="dxa"/>
              <w:start w:w="70" w:type="dxa"/>
              <w:end w:w="70" w:type="dxa"/>
            </w:tcMar>
          </w:tcPr>
          <w:p>
            <w:r/>
            <w:r>
              <w:t>JavaScript-Syntax der eingebetteten Skripte</w:t>
            </w:r>
          </w:p>
        </w:tc>
        <w:tc>
          <w:tcPr>
            <w:tcW w:type="dxa" w:w="5100"/>
            <w:vAlign w:val="top"/>
            <w:tcMar>
              <w:top w:w="70" w:type="dxa"/>
              <w:bottom w:w="70" w:type="dxa"/>
              <w:start w:w="70" w:type="dxa"/>
              <w:end w:w="70" w:type="dxa"/>
            </w:tcMar>
          </w:tcPr>
          <w:p>
            <w:r/>
            <w:r>
              <w:t xml:space="preserve">Erfolgreich mit </w:t>
            </w:r>
            <w:r>
              <w:rPr>
                <w:rFonts w:ascii="DejaVu Sans Mono" w:hAnsi="DejaVu Sans Mono"/>
                <w:sz w:val="18"/>
              </w:rPr>
              <w:t>node --check</w:t>
            </w:r>
            <w:r>
              <w:t xml:space="preserve"> geprüft.</w:t>
            </w:r>
          </w:p>
        </w:tc>
      </w:tr>
      <w:tr>
        <w:tc>
          <w:tcPr>
            <w:tcW w:type="dxa" w:w="5100"/>
            <w:vAlign w:val="top"/>
            <w:tcMar>
              <w:top w:w="70" w:type="dxa"/>
              <w:bottom w:w="70" w:type="dxa"/>
              <w:start w:w="70" w:type="dxa"/>
              <w:end w:w="70" w:type="dxa"/>
            </w:tcMar>
          </w:tcPr>
          <w:p>
            <w:r/>
            <w:r>
              <w:t>Versionsstrings</w:t>
            </w:r>
          </w:p>
        </w:tc>
        <w:tc>
          <w:tcPr>
            <w:tcW w:type="dxa" w:w="5100"/>
            <w:vAlign w:val="top"/>
            <w:tcMar>
              <w:top w:w="70" w:type="dxa"/>
              <w:bottom w:w="70" w:type="dxa"/>
              <w:start w:w="70" w:type="dxa"/>
              <w:end w:w="70" w:type="dxa"/>
            </w:tcMar>
          </w:tcPr>
          <w:p>
            <w:r/>
            <w:r>
              <w:rPr>
                <w:rFonts w:ascii="DejaVu Sans Mono" w:hAnsi="DejaVu Sans Mono"/>
                <w:sz w:val="18"/>
              </w:rPr>
              <w:t>v0.23</w:t>
            </w:r>
            <w:r>
              <w:t xml:space="preserve"> und </w:t>
            </w:r>
            <w:r>
              <w:rPr>
                <w:rFonts w:ascii="DejaVu Sans Mono" w:hAnsi="DejaVu Sans Mono"/>
                <w:sz w:val="18"/>
              </w:rPr>
              <w:t>0.23.0</w:t>
            </w:r>
            <w:r>
              <w:t xml:space="preserve"> gesetzt.</w:t>
            </w:r>
          </w:p>
        </w:tc>
      </w:tr>
      <w:tr>
        <w:tc>
          <w:tcPr>
            <w:tcW w:type="dxa" w:w="5100"/>
            <w:vAlign w:val="top"/>
            <w:tcMar>
              <w:top w:w="70" w:type="dxa"/>
              <w:bottom w:w="70" w:type="dxa"/>
              <w:start w:w="70" w:type="dxa"/>
              <w:end w:w="70" w:type="dxa"/>
            </w:tcMar>
          </w:tcPr>
          <w:p>
            <w:r/>
            <w:r>
              <w:t>Patch-Anwendbarkeit</w:t>
            </w:r>
          </w:p>
        </w:tc>
        <w:tc>
          <w:tcPr>
            <w:tcW w:type="dxa" w:w="5100"/>
            <w:vAlign w:val="top"/>
            <w:tcMar>
              <w:top w:w="70" w:type="dxa"/>
              <w:bottom w:w="70" w:type="dxa"/>
              <w:start w:w="70" w:type="dxa"/>
              <w:end w:w="70" w:type="dxa"/>
            </w:tcMar>
          </w:tcPr>
          <w:p>
            <w:r/>
            <w:r>
              <w:t>Gegen v0.22 erfolgreich getestet.</w:t>
            </w:r>
          </w:p>
        </w:tc>
      </w:tr>
      <w:tr>
        <w:tc>
          <w:tcPr>
            <w:tcW w:type="dxa" w:w="5100"/>
            <w:vAlign w:val="top"/>
            <w:tcMar>
              <w:top w:w="70" w:type="dxa"/>
              <w:bottom w:w="70" w:type="dxa"/>
              <w:start w:w="70" w:type="dxa"/>
              <w:end w:w="70" w:type="dxa"/>
            </w:tcMar>
          </w:tcPr>
          <w:p>
            <w:r/>
            <w:r>
              <w:t>ZIP-Struktur</w:t>
            </w:r>
          </w:p>
        </w:tc>
        <w:tc>
          <w:tcPr>
            <w:tcW w:type="dxa" w:w="5100"/>
            <w:vAlign w:val="top"/>
            <w:tcMar>
              <w:top w:w="70" w:type="dxa"/>
              <w:bottom w:w="70" w:type="dxa"/>
              <w:start w:w="70" w:type="dxa"/>
              <w:end w:w="70" w:type="dxa"/>
            </w:tcMar>
          </w:tcPr>
          <w:p>
            <w:r/>
            <w:r>
              <w:t xml:space="preserve">Root-Ordner </w:t>
            </w:r>
            <w:r>
              <w:rPr>
                <w:rFonts w:ascii="DejaVu Sans Mono" w:hAnsi="DejaVu Sans Mono"/>
                <w:sz w:val="18"/>
              </w:rPr>
              <w:t>Uart_ESP32/</w:t>
            </w:r>
            <w:r>
              <w:t xml:space="preserve"> beibehalten.</w:t>
            </w:r>
          </w:p>
        </w:tc>
      </w:tr>
      <w:tr>
        <w:tc>
          <w:tcPr>
            <w:tcW w:type="dxa" w:w="5100"/>
            <w:vAlign w:val="top"/>
            <w:tcMar>
              <w:top w:w="70" w:type="dxa"/>
              <w:bottom w:w="70" w:type="dxa"/>
              <w:start w:w="70" w:type="dxa"/>
              <w:end w:w="70" w:type="dxa"/>
            </w:tcMar>
          </w:tcPr>
          <w:p>
            <w:r/>
            <w:r>
              <w:t>Dokumentation</w:t>
            </w:r>
          </w:p>
        </w:tc>
        <w:tc>
          <w:tcPr>
            <w:tcW w:type="dxa" w:w="5100"/>
            <w:vAlign w:val="top"/>
            <w:tcMar>
              <w:top w:w="70" w:type="dxa"/>
              <w:bottom w:w="70" w:type="dxa"/>
              <w:start w:w="70" w:type="dxa"/>
              <w:end w:w="70" w:type="dxa"/>
            </w:tcMar>
          </w:tcPr>
          <w:p>
            <w:r/>
            <w:r>
              <w:t>PDF und DOCX aus demselben Stand erstellt und visuell gerendert.</w:t>
            </w:r>
          </w:p>
        </w:tc>
      </w:tr>
    </w:tbl>
    <w:p/>
    <w:p>
      <w:pPr>
        <w:pStyle w:val="Heading1"/>
      </w:pPr>
      <w:r>
        <w:t>7. Offene Punkte</w:t>
      </w:r>
    </w:p>
    <w:p>
      <w:r>
        <w:t xml:space="preserve">Ein echter PlatformIO-Build, Flash-Test auf dem ESP32 und der reale BX3-Test mit </w:t>
      </w:r>
      <w:r>
        <w:rPr>
          <w:rFonts w:ascii="DejaVu Sans Mono" w:hAnsi="DejaVu Sans Mono"/>
          <w:sz w:val="18"/>
        </w:rPr>
        <w:t>/tmp/mtd7.img.gz</w:t>
      </w:r>
      <w:r>
        <w:t xml:space="preserve"> bleiben offen. Nach dem Flashen sollte der Browser einmal hart neu geladen werden, zum Beispiel mit </w:t>
      </w:r>
      <w:r>
        <w:rPr>
          <w:rFonts w:ascii="DejaVu Sans Mono" w:hAnsi="DejaVu Sans Mono"/>
          <w:sz w:val="18"/>
        </w:rPr>
        <w:t>Strg + F5</w:t>
      </w:r>
      <w:r>
        <w:t>, damit kein alter JavaScript-Stand aktiv bleibt.</w:t>
      </w:r>
    </w:p>
    <w:p>
      <w:pPr>
        <w:pStyle w:val="Heading1"/>
      </w:pPr>
      <w:r>
        <w:t>8. Commit-Nachricht</w:t>
      </w:r>
    </w:p>
    <w:p>
      <w:r>
        <w:t>Siehe separate Datei:</w:t>
      </w:r>
    </w:p>
    <w:p>
      <w:pPr>
        <w:pStyle w:val="CodeBlock"/>
      </w:pPr>
      <w:r>
        <w:t>2026-09-22 - Uart_Esp32 - Commit-Nachricht - Image-Quelle-Stabilisierung - v0.23.txt</w:t>
      </w:r>
    </w:p>
    <w:sectPr w:rsidR="00FC693F" w:rsidRPr="0006063C" w:rsidSect="00034616">
      <w:headerReference w:type="default" r:id="rId9"/>
      <w:footerReference w:type="default" r:id="rId10"/>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Uart_Esp32 | v0.23 | 2026-09-22 | Seite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Uart_Esp32 - Projektdokumentation - Firmware - v0.23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4F7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4F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44F7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DejaVu Sans Mono" w:hAnsi="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Uart_Esp32 - Projektdokumentation - Firmware - v0.23</dc:title>
  <dc:subject/>
  <dc:creator>OpenAI 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