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Uart_Esp32</w:t>
        <w:br/>
        <w:t>Projektdokumentation - Firmware</w:t>
      </w:r>
    </w:p>
    <w:p>
      <w:pPr>
        <w:jc w:val="center"/>
      </w:pPr>
      <w:r>
        <w:rPr>
          <w:b/>
          <w:sz w:val="26"/>
        </w:rPr>
        <w:t>UART Raw/Sniffer und Protokoll-Decoder | Version v0.7</w:t>
      </w:r>
    </w:p>
    <w:tbl>
      <w:tblPr>
        <w:tblStyle w:val="TableGrid"/>
        <w:tblW w:type="auto" w:w="0"/>
        <w:jc w:val="center"/>
        <w:tblLook w:firstColumn="1" w:firstRow="1" w:lastColumn="0" w:lastRow="0" w:noHBand="0" w:noVBand="1" w:val="04A0"/>
      </w:tblPr>
      <w:tblGrid>
        <w:gridCol w:w="4933"/>
        <w:gridCol w:w="4933"/>
      </w:tblGrid>
      <w:tr>
        <w:tc>
          <w:tcPr>
            <w:tcW w:type="dxa" w:w="4933"/>
          </w:tcPr>
          <w:p>
            <w:r>
              <w:rPr>
                <w:b/>
              </w:rPr>
              <w:t>Projektname</w:t>
            </w:r>
          </w:p>
        </w:tc>
        <w:tc>
          <w:tcPr>
            <w:tcW w:type="dxa" w:w="4933"/>
          </w:tcPr>
          <w:p>
            <w:r>
              <w:t>Uart_Esp32</w:t>
            </w:r>
          </w:p>
        </w:tc>
      </w:tr>
      <w:tr>
        <w:tc>
          <w:tcPr>
            <w:tcW w:type="dxa" w:w="4933"/>
          </w:tcPr>
          <w:p>
            <w:r>
              <w:rPr>
                <w:b/>
              </w:rPr>
              <w:t>Dokumentenart</w:t>
            </w:r>
          </w:p>
        </w:tc>
        <w:tc>
          <w:tcPr>
            <w:tcW w:type="dxa" w:w="4933"/>
          </w:tcPr>
          <w:p>
            <w:r>
              <w:t>Projektdokumentation</w:t>
            </w:r>
          </w:p>
        </w:tc>
      </w:tr>
      <w:tr>
        <w:tc>
          <w:tcPr>
            <w:tcW w:type="dxa" w:w="4933"/>
          </w:tcPr>
          <w:p>
            <w:r>
              <w:rPr>
                <w:b/>
              </w:rPr>
              <w:t>Thema</w:t>
            </w:r>
          </w:p>
        </w:tc>
        <w:tc>
          <w:tcPr>
            <w:tcW w:type="dxa" w:w="4933"/>
          </w:tcPr>
          <w:p>
            <w:r>
              <w:t>Firmware fuer ESP32-WROOM-32 / NodeMCU-32S - UART Raw/Sniffer und Protokoll-Decoder</w:t>
            </w:r>
          </w:p>
        </w:tc>
      </w:tr>
      <w:tr>
        <w:tc>
          <w:tcPr>
            <w:tcW w:type="dxa" w:w="4933"/>
          </w:tcPr>
          <w:p>
            <w:r>
              <w:rPr>
                <w:b/>
              </w:rPr>
              <w:t>Erstellungsdatum</w:t>
            </w:r>
          </w:p>
        </w:tc>
        <w:tc>
          <w:tcPr>
            <w:tcW w:type="dxa" w:w="4933"/>
          </w:tcPr>
          <w:p>
            <w:r>
              <w:t>2026-09-17</w:t>
            </w:r>
          </w:p>
        </w:tc>
      </w:tr>
      <w:tr>
        <w:tc>
          <w:tcPr>
            <w:tcW w:type="dxa" w:w="4933"/>
          </w:tcPr>
          <w:p>
            <w:r>
              <w:rPr>
                <w:b/>
              </w:rPr>
              <w:t>Autor / verantwortliche Person</w:t>
            </w:r>
          </w:p>
        </w:tc>
        <w:tc>
          <w:tcPr>
            <w:tcW w:type="dxa" w:w="4933"/>
          </w:tcPr>
          <w:p>
            <w:r>
              <w:t>OpenAI ChatGPT (technische Erstellung)</w:t>
            </w:r>
          </w:p>
        </w:tc>
      </w:tr>
      <w:tr>
        <w:tc>
          <w:tcPr>
            <w:tcW w:type="dxa" w:w="4933"/>
          </w:tcPr>
          <w:p>
            <w:r>
              <w:rPr>
                <w:b/>
              </w:rPr>
              <w:t>Version</w:t>
            </w:r>
          </w:p>
        </w:tc>
        <w:tc>
          <w:tcPr>
            <w:tcW w:type="dxa" w:w="4933"/>
          </w:tcPr>
          <w:p>
            <w:r>
              <w:t>v0.7</w:t>
            </w:r>
          </w:p>
        </w:tc>
      </w:tr>
      <w:tr>
        <w:tc>
          <w:tcPr>
            <w:tcW w:type="dxa" w:w="4933"/>
          </w:tcPr>
          <w:p>
            <w:r>
              <w:rPr>
                <w:b/>
              </w:rPr>
              <w:t>Status</w:t>
            </w:r>
          </w:p>
        </w:tc>
        <w:tc>
          <w:tcPr>
            <w:tcW w:type="dxa" w:w="4933"/>
          </w:tcPr>
          <w:p>
            <w:r>
              <w:t>Entwurf / lokale Build- und Hardwarepruefung ausstehend</w:t>
            </w:r>
          </w:p>
        </w:tc>
      </w:tr>
      <w:tr>
        <w:tc>
          <w:tcPr>
            <w:tcW w:type="dxa" w:w="4933"/>
          </w:tcPr>
          <w:p>
            <w:r>
              <w:rPr>
                <w:b/>
              </w:rPr>
              <w:t>Aenderungsdatum</w:t>
            </w:r>
          </w:p>
        </w:tc>
        <w:tc>
          <w:tcPr>
            <w:tcW w:type="dxa" w:w="4933"/>
          </w:tcPr>
          <w:p>
            <w:r>
              <w:t>2026-09-17</w:t>
            </w:r>
          </w:p>
        </w:tc>
      </w:tr>
      <w:tr>
        <w:tc>
          <w:tcPr>
            <w:tcW w:type="dxa" w:w="4933"/>
          </w:tcPr>
          <w:p>
            <w:r>
              <w:rPr>
                <w:b/>
              </w:rPr>
              <w:t>Ablageort</w:t>
            </w:r>
          </w:p>
        </w:tc>
        <w:tc>
          <w:tcPr>
            <w:tcW w:type="dxa" w:w="4933"/>
          </w:tcPr>
          <w:p>
            <w:r>
              <w:t>Projektordner Uart_ESP32/docs</w:t>
            </w:r>
          </w:p>
        </w:tc>
      </w:tr>
      <w:tr>
        <w:tc>
          <w:tcPr>
            <w:tcW w:type="dxa" w:w="4933"/>
          </w:tcPr>
          <w:p>
            <w:r>
              <w:rPr>
                <w:b/>
              </w:rPr>
              <w:t>Referenzen</w:t>
            </w:r>
          </w:p>
        </w:tc>
        <w:tc>
          <w:tcPr>
            <w:tcW w:type="dxa" w:w="4933"/>
          </w:tcPr>
          <w:p>
            <w:r>
              <w:t>Regeln_Projektdokumentation_PDF_DOCX_Pflicht_(5).pdf; ESP32_UART_Protokoll_Entschluesselung(1).pdf; Projektstand v0.6</w:t>
            </w:r>
          </w:p>
        </w:tc>
      </w:tr>
    </w:tbl>
    <w:p>
      <w:pPr>
        <w:pStyle w:val="Heading1"/>
      </w:pPr>
      <w:r>
        <w:t>1. Aenderungshistorie</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vAlign w:val="center"/>
          </w:tcPr>
          <w:p>
            <w:r>
              <w:rPr>
                <w:b/>
              </w:rPr>
              <w:t>Version</w:t>
            </w:r>
          </w:p>
        </w:tc>
        <w:tc>
          <w:tcPr>
            <w:tcW w:type="dxa" w:w="1973"/>
            <w:vAlign w:val="center"/>
          </w:tcPr>
          <w:p>
            <w:r>
              <w:rPr>
                <w:b/>
              </w:rPr>
              <w:t>Datum</w:t>
            </w:r>
          </w:p>
        </w:tc>
        <w:tc>
          <w:tcPr>
            <w:tcW w:type="dxa" w:w="1973"/>
            <w:vAlign w:val="center"/>
          </w:tcPr>
          <w:p>
            <w:r>
              <w:rPr>
                <w:b/>
              </w:rPr>
              <w:t>Bearbeiter</w:t>
            </w:r>
          </w:p>
        </w:tc>
        <w:tc>
          <w:tcPr>
            <w:tcW w:type="dxa" w:w="1973"/>
            <w:vAlign w:val="center"/>
          </w:tcPr>
          <w:p>
            <w:r>
              <w:rPr>
                <w:b/>
              </w:rPr>
              <w:t>Status</w:t>
            </w:r>
          </w:p>
        </w:tc>
        <w:tc>
          <w:tcPr>
            <w:tcW w:type="dxa" w:w="1973"/>
            <w:vAlign w:val="center"/>
          </w:tcPr>
          <w:p>
            <w:r>
              <w:rPr>
                <w:b/>
              </w:rPr>
              <w:t>Aenderung</w:t>
            </w:r>
          </w:p>
        </w:tc>
      </w:tr>
      <w:tr>
        <w:tc>
          <w:tcPr>
            <w:tcW w:type="dxa" w:w="1973"/>
          </w:tcPr>
          <w:p>
            <w:r>
              <w:t>v0.1</w:t>
            </w:r>
          </w:p>
        </w:tc>
        <w:tc>
          <w:tcPr>
            <w:tcW w:type="dxa" w:w="1973"/>
          </w:tcPr>
          <w:p>
            <w:r>
              <w:t>2026-09-17</w:t>
            </w:r>
          </w:p>
        </w:tc>
        <w:tc>
          <w:tcPr>
            <w:tcW w:type="dxa" w:w="1973"/>
          </w:tcPr>
          <w:p>
            <w:r>
              <w:t>OpenAI ChatGPT</w:t>
            </w:r>
          </w:p>
        </w:tc>
        <w:tc>
          <w:tcPr>
            <w:tcW w:type="dxa" w:w="1973"/>
          </w:tcPr>
          <w:p>
            <w:r>
              <w:t>Entwurf</w:t>
            </w:r>
          </w:p>
        </w:tc>
        <w:tc>
          <w:tcPr>
            <w:tcW w:type="dxa" w:w="1973"/>
          </w:tcPr>
          <w:p>
            <w:r>
              <w:t>Reduzierter WROOM32-Projektstand erstellt</w:t>
            </w:r>
          </w:p>
        </w:tc>
      </w:tr>
      <w:tr>
        <w:tc>
          <w:tcPr>
            <w:tcW w:type="dxa" w:w="1973"/>
          </w:tcPr>
          <w:p>
            <w:r>
              <w:t>v0.2</w:t>
            </w:r>
          </w:p>
        </w:tc>
        <w:tc>
          <w:tcPr>
            <w:tcW w:type="dxa" w:w="1973"/>
          </w:tcPr>
          <w:p>
            <w:r>
              <w:t>2026-09-17</w:t>
            </w:r>
          </w:p>
        </w:tc>
        <w:tc>
          <w:tcPr>
            <w:tcW w:type="dxa" w:w="1973"/>
          </w:tcPr>
          <w:p>
            <w:r>
              <w:t>OpenAI ChatGPT</w:t>
            </w:r>
          </w:p>
        </w:tc>
        <w:tc>
          <w:tcPr>
            <w:tcW w:type="dxa" w:w="1973"/>
          </w:tcPr>
          <w:p>
            <w:r>
              <w:t>Entwurf</w:t>
            </w:r>
          </w:p>
        </w:tc>
        <w:tc>
          <w:tcPr>
            <w:tcW w:type="dxa" w:w="1973"/>
          </w:tcPr>
          <w:p>
            <w:r>
              <w:t>Projektname und Dokumentationsregeln umgesetzt</w:t>
            </w:r>
          </w:p>
        </w:tc>
      </w:tr>
      <w:tr>
        <w:tc>
          <w:tcPr>
            <w:tcW w:type="dxa" w:w="1973"/>
          </w:tcPr>
          <w:p>
            <w:r>
              <w:t>v0.3</w:t>
            </w:r>
          </w:p>
        </w:tc>
        <w:tc>
          <w:tcPr>
            <w:tcW w:type="dxa" w:w="1973"/>
          </w:tcPr>
          <w:p>
            <w:r>
              <w:t>2026-09-17</w:t>
            </w:r>
          </w:p>
        </w:tc>
        <w:tc>
          <w:tcPr>
            <w:tcW w:type="dxa" w:w="1973"/>
          </w:tcPr>
          <w:p>
            <w:r>
              <w:t>OpenAI ChatGPT</w:t>
            </w:r>
          </w:p>
        </w:tc>
        <w:tc>
          <w:tcPr>
            <w:tcW w:type="dxa" w:w="1973"/>
          </w:tcPr>
          <w:p>
            <w:r>
              <w:t>Entwurf</w:t>
            </w:r>
          </w:p>
        </w:tc>
        <w:tc>
          <w:tcPr>
            <w:tcW w:type="dxa" w:w="1973"/>
          </w:tcPr>
          <w:p>
            <w:r>
              <w:t>Typensichere Buildkorrekturen</w:t>
            </w:r>
          </w:p>
        </w:tc>
      </w:tr>
      <w:tr>
        <w:tc>
          <w:tcPr>
            <w:tcW w:type="dxa" w:w="1973"/>
          </w:tcPr>
          <w:p>
            <w:r>
              <w:t>v0.4</w:t>
            </w:r>
          </w:p>
        </w:tc>
        <w:tc>
          <w:tcPr>
            <w:tcW w:type="dxa" w:w="1973"/>
          </w:tcPr>
          <w:p>
            <w:r>
              <w:t>2026-09-17</w:t>
            </w:r>
          </w:p>
        </w:tc>
        <w:tc>
          <w:tcPr>
            <w:tcW w:type="dxa" w:w="1973"/>
          </w:tcPr>
          <w:p>
            <w:r>
              <w:t>OpenAI ChatGPT</w:t>
            </w:r>
          </w:p>
        </w:tc>
        <w:tc>
          <w:tcPr>
            <w:tcW w:type="dxa" w:w="1973"/>
          </w:tcPr>
          <w:p>
            <w:r>
              <w:t>Entwurf</w:t>
            </w:r>
          </w:p>
        </w:tc>
        <w:tc>
          <w:tcPr>
            <w:tcW w:type="dxa" w:w="1973"/>
          </w:tcPr>
          <w:p>
            <w:r>
              <w:t>Arduino-Secrets, NVS und WLAN-Provisionierung</w:t>
            </w:r>
          </w:p>
        </w:tc>
      </w:tr>
      <w:tr>
        <w:tc>
          <w:tcPr>
            <w:tcW w:type="dxa" w:w="1973"/>
          </w:tcPr>
          <w:p>
            <w:r>
              <w:t>v0.5</w:t>
            </w:r>
          </w:p>
        </w:tc>
        <w:tc>
          <w:tcPr>
            <w:tcW w:type="dxa" w:w="1973"/>
          </w:tcPr>
          <w:p>
            <w:r>
              <w:t>2026-09-17</w:t>
            </w:r>
          </w:p>
        </w:tc>
        <w:tc>
          <w:tcPr>
            <w:tcW w:type="dxa" w:w="1973"/>
          </w:tcPr>
          <w:p>
            <w:r>
              <w:t>OpenAI ChatGPT</w:t>
            </w:r>
          </w:p>
        </w:tc>
        <w:tc>
          <w:tcPr>
            <w:tcW w:type="dxa" w:w="1973"/>
          </w:tcPr>
          <w:p>
            <w:r>
              <w:t>Entwurf</w:t>
            </w:r>
          </w:p>
        </w:tc>
        <w:tc>
          <w:tcPr>
            <w:tcW w:type="dxa" w:w="1973"/>
          </w:tcPr>
          <w:p>
            <w:r>
              <w:t>WLAN-Fallbacks, Recovery-AP und Resetdiagnose</w:t>
            </w:r>
          </w:p>
        </w:tc>
      </w:tr>
      <w:tr>
        <w:tc>
          <w:tcPr>
            <w:tcW w:type="dxa" w:w="1973"/>
          </w:tcPr>
          <w:p>
            <w:r>
              <w:t>v0.6</w:t>
            </w:r>
          </w:p>
        </w:tc>
        <w:tc>
          <w:tcPr>
            <w:tcW w:type="dxa" w:w="1973"/>
          </w:tcPr>
          <w:p>
            <w:r>
              <w:t>2026-09-17</w:t>
            </w:r>
          </w:p>
        </w:tc>
        <w:tc>
          <w:tcPr>
            <w:tcW w:type="dxa" w:w="1973"/>
          </w:tcPr>
          <w:p>
            <w:r>
              <w:t>OpenAI ChatGPT</w:t>
            </w:r>
          </w:p>
        </w:tc>
        <w:tc>
          <w:tcPr>
            <w:tcW w:type="dxa" w:w="1973"/>
          </w:tcPr>
          <w:p>
            <w:r>
              <w:t>Entwurf</w:t>
            </w:r>
          </w:p>
        </w:tc>
        <w:tc>
          <w:tcPr>
            <w:tcW w:type="dxa" w:w="1973"/>
          </w:tcPr>
          <w:p>
            <w:r>
              <w:t>Compilerfehler in markWifiConnected behoben</w:t>
            </w:r>
          </w:p>
        </w:tc>
      </w:tr>
      <w:tr>
        <w:tc>
          <w:tcPr>
            <w:tcW w:type="dxa" w:w="1973"/>
          </w:tcPr>
          <w:p>
            <w:r>
              <w:t>v0.7</w:t>
            </w:r>
          </w:p>
        </w:tc>
        <w:tc>
          <w:tcPr>
            <w:tcW w:type="dxa" w:w="1973"/>
          </w:tcPr>
          <w:p>
            <w:r>
              <w:t>2026-09-17</w:t>
            </w:r>
          </w:p>
        </w:tc>
        <w:tc>
          <w:tcPr>
            <w:tcW w:type="dxa" w:w="1973"/>
          </w:tcPr>
          <w:p>
            <w:r>
              <w:t>OpenAI ChatGPT</w:t>
            </w:r>
          </w:p>
        </w:tc>
        <w:tc>
          <w:tcPr>
            <w:tcW w:type="dxa" w:w="1973"/>
          </w:tcPr>
          <w:p>
            <w:r>
              <w:t>Entwurf</w:t>
            </w:r>
          </w:p>
        </w:tc>
        <w:tc>
          <w:tcPr>
            <w:tcW w:type="dxa" w:w="1973"/>
          </w:tcPr>
          <w:p>
            <w:r>
              <w:t>UART Raw/Sniffer, Decoder, Feld-Aliase und Kalibrierung</w:t>
            </w:r>
          </w:p>
        </w:tc>
      </w:tr>
    </w:tbl>
    <w:p>
      <w:pPr>
        <w:pStyle w:val="Heading1"/>
      </w:pPr>
      <w:r>
        <w:t>2. Ziel des Standes v0.7</w:t>
      </w:r>
    </w:p>
    <w:p>
      <w:r>
        <w:t>Der Projektstand v0.7 erweitert die bestehende Firmware um zwei getrennte serielle Betriebsarten. Im Raw-/Sniffer-Modus werden UART-Bytes ohne Interpretation erfasst und im Webinterface als HEX und ASCII dargestellt. Im Protokoll-Decoder-Modus wird zusaetzlich das in der Referenzdokumentation beschriebene UART-Protokoll ausgewertet.</w:t>
      </w:r>
    </w:p>
    <w:p>
      <w:r>
        <w:t>Die technische Kennung Feld 1 bis Feld 6 bleibt immer sichtbar. Zu jedem Feld kann ein frei editierbarer Alias gespeichert werden, z. B. Feld 1 - Roll. Dadurch koennen spaeter bestaetigte Bedeutungen eingetragen werden, ohne die neutrale Feldnummerierung zu verlieren.</w:t>
      </w:r>
    </w:p>
    <w:p>
      <w:pPr>
        <w:pStyle w:val="Heading1"/>
      </w:pPr>
      <w:r>
        <w:t>3. UART-Betriebsarten und Hardwarekonfiguration</w:t>
      </w:r>
    </w:p>
    <w:tbl>
      <w:tblPr>
        <w:tblStyle w:val="TableGrid"/>
        <w:tblW w:type="auto" w:w="0"/>
        <w:jc w:val="center"/>
        <w:tblLook w:firstColumn="1" w:firstRow="1" w:lastColumn="0" w:lastRow="0" w:noHBand="0" w:noVBand="1" w:val="04A0"/>
      </w:tblPr>
      <w:tblGrid>
        <w:gridCol w:w="4933"/>
        <w:gridCol w:w="4933"/>
      </w:tblGrid>
      <w:tr>
        <w:tc>
          <w:tcPr>
            <w:tcW w:type="dxa" w:w="4933"/>
            <w:vAlign w:val="center"/>
          </w:tcPr>
          <w:p>
            <w:r>
              <w:rPr>
                <w:b/>
              </w:rPr>
              <w:t>Modus</w:t>
            </w:r>
          </w:p>
        </w:tc>
        <w:tc>
          <w:tcPr>
            <w:tcW w:type="dxa" w:w="4933"/>
            <w:vAlign w:val="center"/>
          </w:tcPr>
          <w:p>
            <w:r>
              <w:rPr>
                <w:b/>
              </w:rPr>
              <w:t>Verhalten</w:t>
            </w:r>
          </w:p>
        </w:tc>
      </w:tr>
      <w:tr>
        <w:tc>
          <w:tcPr>
            <w:tcW w:type="dxa" w:w="4933"/>
          </w:tcPr>
          <w:p>
            <w:r>
              <w:t>Aus</w:t>
            </w:r>
          </w:p>
        </w:tc>
        <w:tc>
          <w:tcPr>
            <w:tcW w:type="dxa" w:w="4933"/>
          </w:tcPr>
          <w:p>
            <w:r>
              <w:t>Zusaetzliche Hardware-UART ist deaktiviert.</w:t>
            </w:r>
          </w:p>
        </w:tc>
      </w:tr>
      <w:tr>
        <w:tc>
          <w:tcPr>
            <w:tcW w:type="dxa" w:w="4933"/>
          </w:tcPr>
          <w:p>
            <w:r>
              <w:t>Raw / Sniffer</w:t>
            </w:r>
          </w:p>
        </w:tc>
        <w:tc>
          <w:tcPr>
            <w:tcW w:type="dxa" w:w="4933"/>
          </w:tcPr>
          <w:p>
            <w:r>
              <w:t>Empfangene Bytes werden in einem 512-Byte-Ringpuffer gespeichert; die letzten 256 Bytes werden als HEX und ASCII dargestellt.</w:t>
            </w:r>
          </w:p>
        </w:tc>
      </w:tr>
      <w:tr>
        <w:tc>
          <w:tcPr>
            <w:tcW w:type="dxa" w:w="4933"/>
          </w:tcPr>
          <w:p>
            <w:r>
              <w:t>Protokoll-Decoder</w:t>
            </w:r>
          </w:p>
        </w:tc>
        <w:tc>
          <w:tcPr>
            <w:tcW w:type="dxa" w:w="4933"/>
          </w:tcPr>
          <w:p>
            <w:r>
              <w:t>Raw-Erfassung bleibt aktiv; zusaetzlich werden Pakete synchronisiert, geprueft und dekodiert.</w:t>
            </w:r>
          </w:p>
        </w:tc>
      </w:tr>
    </w:tbl>
    <w:p>
      <w:r>
        <w:t>UART0 bleibt fuer den seriellen Debug-Monitor reserviert. Fuer die Zusatzfunktion sind Hardware-UART1 und UART2 waehlbar. RX und TX sind frei konfigurierbar; TX kann mit -1 deaktiviert werden. Standard ist RX GPIO16, TX deaktiviert, 115200 Baud und 8N1.</w:t>
      </w:r>
    </w:p>
    <w:p>
      <w:pPr>
        <w:pStyle w:val="ListBullet"/>
      </w:pPr>
      <w:r>
        <w:t>GPIO6..11 sind wegen des externen Flashs gesperrt.</w:t>
      </w:r>
    </w:p>
    <w:p>
      <w:pPr>
        <w:pStyle w:val="ListBullet"/>
      </w:pPr>
      <w:r>
        <w:t>GPIO1/3 bleiben fuer den Debug-UART reserviert.</w:t>
      </w:r>
    </w:p>
    <w:p>
      <w:pPr>
        <w:pStyle w:val="ListBullet"/>
      </w:pPr>
      <w:r>
        <w:t>GPIO34..39 duerfen nur als RX verwendet werden, da sie reine Eingänge sind.</w:t>
      </w:r>
    </w:p>
    <w:p>
      <w:pPr>
        <w:pStyle w:val="ListBullet"/>
      </w:pPr>
      <w:r>
        <w:t>Unterstuetzte Frame-Formate: 8N1, 8E1, 8O1 und 8N2.</w:t>
      </w:r>
    </w:p>
    <w:p>
      <w:pPr>
        <w:pStyle w:val="Heading1"/>
      </w:pPr>
      <w:r>
        <w:t>4. Decoder gemaess UART-Messunterlage</w:t>
      </w:r>
    </w:p>
    <w:p>
      <w:r>
        <w:t>Der Decoder folgt der im Referenz-PDF dokumentierten Paketlogik. Die robustere Synchronisation interpretiert nicht einfach jedes 25-Byte-Fenster, sondern sucht zuerst den Paketheader und verwendet das Laengenbyte.</w:t>
      </w:r>
    </w:p>
    <w:p>
      <w:pPr>
        <w:pStyle w:val="ListNumber"/>
      </w:pPr>
      <w:r>
        <w:t>Suche nach FF.</w:t>
      </w:r>
    </w:p>
    <w:p>
      <w:pPr>
        <w:pStyle w:val="ListNumber"/>
      </w:pPr>
      <w:r>
        <w:t>Folgendes Byte muss FB sein.</w:t>
      </w:r>
    </w:p>
    <w:p>
      <w:pPr>
        <w:pStyle w:val="ListNumber"/>
      </w:pPr>
      <w:r>
        <w:t>Typ und Laengenbyte lesen.</w:t>
      </w:r>
    </w:p>
    <w:p>
      <w:pPr>
        <w:pStyle w:val="ListNumber"/>
      </w:pPr>
      <w:r>
        <w:t>Gesamtlaenge als 4 + Laenge bestimmen.</w:t>
      </w:r>
    </w:p>
    <w:p>
      <w:pPr>
        <w:pStyle w:val="ListNumber"/>
      </w:pPr>
      <w:r>
        <w:t>Vollstaendiges Paket sammeln.</w:t>
      </w:r>
    </w:p>
    <w:p>
      <w:pPr>
        <w:pStyle w:val="ListNumber"/>
      </w:pPr>
      <w:r>
        <w:t>XOR-Pruefsumme ueber Byte 6 bis zum Byte vor der Pruefsumme berechnen.</w:t>
      </w:r>
    </w:p>
    <w:p>
      <w:pPr>
        <w:pStyle w:val="ListNumber"/>
      </w:pPr>
      <w:r>
        <w:t>Nur gueltige Pakete auswerten.</w:t>
      </w:r>
    </w:p>
    <w:p>
      <w:r>
        <w:t>Fuer das bestaetigte Hauptpaket Typ 0x10 und Laenge 0x15 ergibt sich eine Gesamtlaenge von 25 Bytes. Die sechs Nutzfelder beginnen bei Byte 12 und sind 16-Bit Little Endian.</w:t>
      </w:r>
    </w:p>
    <w:p>
      <w:r>
        <w:rPr>
          <w:b/>
        </w:rPr>
        <w:t xml:space="preserve">Verifikationshinweis: </w:t>
      </w:r>
      <w:r>
        <w:t>Die Implementierung folgt der im PDF textlich angegebenen XOR-Regel (Byte 6 bis zum Byte vor der Pruefsumme). Die im PDF abgedruckte einzelne Beispiel-Bytefolge ergibt bei einer unabhaengigen Nachrechnung nicht denselben Endwert wie das dort gezeigte letzte Byte. Deshalb zeigt die Firmware gueltige/ungueltige Paketzaehler separat an; der Hardwaretest muss bestaetigen, ob die XOR-Grenzen fuer die realen Mitschnitte exakt stimmen. Der Raw-Modus bleibt hiervon unberuehrt.</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tcPr>
          <w:p>
            <w:r>
              <w:rPr>
                <w:b/>
              </w:rPr>
              <w:t>Technisches Feld</w:t>
            </w:r>
          </w:p>
        </w:tc>
        <w:tc>
          <w:tcPr>
            <w:tcW w:type="dxa" w:w="3289"/>
            <w:vAlign w:val="center"/>
          </w:tcPr>
          <w:p>
            <w:r>
              <w:rPr>
                <w:b/>
              </w:rPr>
              <w:t>Byteposition</w:t>
            </w:r>
          </w:p>
        </w:tc>
        <w:tc>
          <w:tcPr>
            <w:tcW w:type="dxa" w:w="3289"/>
            <w:vAlign w:val="center"/>
          </w:tcPr>
          <w:p>
            <w:r>
              <w:rPr>
                <w:b/>
              </w:rPr>
              <w:t>Behandlung</w:t>
            </w:r>
          </w:p>
        </w:tc>
      </w:tr>
      <w:tr>
        <w:tc>
          <w:tcPr>
            <w:tcW w:type="dxa" w:w="3289"/>
          </w:tcPr>
          <w:p>
            <w:r>
              <w:t>Feld 1</w:t>
            </w:r>
          </w:p>
        </w:tc>
        <w:tc>
          <w:tcPr>
            <w:tcW w:type="dxa" w:w="3289"/>
          </w:tcPr>
          <w:p>
            <w:r>
              <w:t>12 / 13</w:t>
            </w:r>
          </w:p>
        </w:tc>
        <w:tc>
          <w:tcPr>
            <w:tcW w:type="dxa" w:w="3289"/>
          </w:tcPr>
          <w:p>
            <w:r>
              <w:t>uint16 LE, normiert</w:t>
            </w:r>
          </w:p>
        </w:tc>
      </w:tr>
      <w:tr>
        <w:tc>
          <w:tcPr>
            <w:tcW w:type="dxa" w:w="3289"/>
          </w:tcPr>
          <w:p>
            <w:r>
              <w:t>Feld 2</w:t>
            </w:r>
          </w:p>
        </w:tc>
        <w:tc>
          <w:tcPr>
            <w:tcW w:type="dxa" w:w="3289"/>
          </w:tcPr>
          <w:p>
            <w:r>
              <w:t>14 / 15</w:t>
            </w:r>
          </w:p>
        </w:tc>
        <w:tc>
          <w:tcPr>
            <w:tcW w:type="dxa" w:w="3289"/>
          </w:tcPr>
          <w:p>
            <w:r>
              <w:t>uint16 LE, normiert</w:t>
            </w:r>
          </w:p>
        </w:tc>
      </w:tr>
      <w:tr>
        <w:tc>
          <w:tcPr>
            <w:tcW w:type="dxa" w:w="3289"/>
          </w:tcPr>
          <w:p>
            <w:r>
              <w:t>Feld 3</w:t>
            </w:r>
          </w:p>
        </w:tc>
        <w:tc>
          <w:tcPr>
            <w:tcW w:type="dxa" w:w="3289"/>
          </w:tcPr>
          <w:p>
            <w:r>
              <w:t>16 / 17</w:t>
            </w:r>
          </w:p>
        </w:tc>
        <w:tc>
          <w:tcPr>
            <w:tcW w:type="dxa" w:w="3289"/>
          </w:tcPr>
          <w:p>
            <w:r>
              <w:t>uint16 LE, normiert</w:t>
            </w:r>
          </w:p>
        </w:tc>
      </w:tr>
      <w:tr>
        <w:tc>
          <w:tcPr>
            <w:tcW w:type="dxa" w:w="3289"/>
          </w:tcPr>
          <w:p>
            <w:r>
              <w:t>Feld 4</w:t>
            </w:r>
          </w:p>
        </w:tc>
        <w:tc>
          <w:tcPr>
            <w:tcW w:type="dxa" w:w="3289"/>
          </w:tcPr>
          <w:p>
            <w:r>
              <w:t>18 / 19</w:t>
            </w:r>
          </w:p>
        </w:tc>
        <w:tc>
          <w:tcPr>
            <w:tcW w:type="dxa" w:w="3289"/>
          </w:tcPr>
          <w:p>
            <w:r>
              <w:t>uint16 LE, normiert</w:t>
            </w:r>
          </w:p>
        </w:tc>
      </w:tr>
      <w:tr>
        <w:tc>
          <w:tcPr>
            <w:tcW w:type="dxa" w:w="3289"/>
          </w:tcPr>
          <w:p>
            <w:r>
              <w:t>Feld 5</w:t>
            </w:r>
          </w:p>
        </w:tc>
        <w:tc>
          <w:tcPr>
            <w:tcW w:type="dxa" w:w="3289"/>
          </w:tcPr>
          <w:p>
            <w:r>
              <w:t>20 / 21</w:t>
            </w:r>
          </w:p>
        </w:tc>
        <w:tc>
          <w:tcPr>
            <w:tcW w:type="dxa" w:w="3289"/>
          </w:tcPr>
          <w:p>
            <w:r>
              <w:t>uint16 LE, normiert</w:t>
            </w:r>
          </w:p>
        </w:tc>
      </w:tr>
      <w:tr>
        <w:tc>
          <w:tcPr>
            <w:tcW w:type="dxa" w:w="3289"/>
          </w:tcPr>
          <w:p>
            <w:r>
              <w:t>Feld 6</w:t>
            </w:r>
          </w:p>
        </w:tc>
        <w:tc>
          <w:tcPr>
            <w:tcW w:type="dxa" w:w="3289"/>
          </w:tcPr>
          <w:p>
            <w:r>
              <w:t>22 / 23</w:t>
            </w:r>
          </w:p>
        </w:tc>
        <w:tc>
          <w:tcPr>
            <w:tcW w:type="dxa" w:w="3289"/>
          </w:tcPr>
          <w:p>
            <w:r>
              <w:t>uint16 LE, nur Rohwert</w:t>
            </w:r>
          </w:p>
        </w:tc>
      </w:tr>
      <w:tr>
        <w:tc>
          <w:tcPr>
            <w:tcW w:type="dxa" w:w="3289"/>
          </w:tcPr>
          <w:p>
            <w:r>
              <w:t>Checksumme</w:t>
            </w:r>
          </w:p>
        </w:tc>
        <w:tc>
          <w:tcPr>
            <w:tcW w:type="dxa" w:w="3289"/>
          </w:tcPr>
          <w:p>
            <w:r>
              <w:t>24</w:t>
            </w:r>
          </w:p>
        </w:tc>
        <w:tc>
          <w:tcPr>
            <w:tcW w:type="dxa" w:w="3289"/>
          </w:tcPr>
          <w:p>
            <w:r>
              <w:t>XOR</w:t>
            </w:r>
          </w:p>
        </w:tc>
      </w:tr>
    </w:tbl>
    <w:p>
      <w:pPr>
        <w:pStyle w:val="Heading1"/>
      </w:pPr>
      <w:r>
        <w:t>5. Normierung, Totzone und Kalibrierung</w:t>
      </w:r>
    </w:p>
    <w:p>
      <w:r>
        <w:t>Feld 1 bis Feld 5 werden stueckweise linear auf -1.0 ... +1.0 normiert. Minimum, Mittelpunkt und Maximum werden pro Feld getrennt gespeichert. Als Startwerte werden die Werte aus der Referenzmessung verwendet.</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tcPr>
          <w:p>
            <w:r>
              <w:rPr>
                <w:b/>
              </w:rPr>
              <w:t>Feld</w:t>
            </w:r>
          </w:p>
        </w:tc>
        <w:tc>
          <w:tcPr>
            <w:tcW w:type="dxa" w:w="2466"/>
            <w:vAlign w:val="center"/>
          </w:tcPr>
          <w:p>
            <w:r>
              <w:rPr>
                <w:b/>
              </w:rPr>
              <w:t>Minimum</w:t>
            </w:r>
          </w:p>
        </w:tc>
        <w:tc>
          <w:tcPr>
            <w:tcW w:type="dxa" w:w="2466"/>
            <w:vAlign w:val="center"/>
          </w:tcPr>
          <w:p>
            <w:r>
              <w:rPr>
                <w:b/>
              </w:rPr>
              <w:t>Mitte</w:t>
            </w:r>
          </w:p>
        </w:tc>
        <w:tc>
          <w:tcPr>
            <w:tcW w:type="dxa" w:w="2466"/>
            <w:vAlign w:val="center"/>
          </w:tcPr>
          <w:p>
            <w:r>
              <w:rPr>
                <w:b/>
              </w:rPr>
              <w:t>Maximum</w:t>
            </w:r>
          </w:p>
        </w:tc>
      </w:tr>
      <w:tr>
        <w:tc>
          <w:tcPr>
            <w:tcW w:type="dxa" w:w="2466"/>
          </w:tcPr>
          <w:p>
            <w:r>
              <w:t>Feld 1</w:t>
            </w:r>
          </w:p>
        </w:tc>
        <w:tc>
          <w:tcPr>
            <w:tcW w:type="dxa" w:w="2466"/>
          </w:tcPr>
          <w:p>
            <w:r>
              <w:t>1000</w:t>
            </w:r>
          </w:p>
        </w:tc>
        <w:tc>
          <w:tcPr>
            <w:tcW w:type="dxa" w:w="2466"/>
          </w:tcPr>
          <w:p>
            <w:r>
              <w:t>1503</w:t>
            </w:r>
          </w:p>
        </w:tc>
        <w:tc>
          <w:tcPr>
            <w:tcW w:type="dxa" w:w="2466"/>
          </w:tcPr>
          <w:p>
            <w:r>
              <w:t>2000</w:t>
            </w:r>
          </w:p>
        </w:tc>
      </w:tr>
      <w:tr>
        <w:tc>
          <w:tcPr>
            <w:tcW w:type="dxa" w:w="2466"/>
          </w:tcPr>
          <w:p>
            <w:r>
              <w:t>Feld 2</w:t>
            </w:r>
          </w:p>
        </w:tc>
        <w:tc>
          <w:tcPr>
            <w:tcW w:type="dxa" w:w="2466"/>
          </w:tcPr>
          <w:p>
            <w:r>
              <w:t>1000</w:t>
            </w:r>
          </w:p>
        </w:tc>
        <w:tc>
          <w:tcPr>
            <w:tcW w:type="dxa" w:w="2466"/>
          </w:tcPr>
          <w:p>
            <w:r>
              <w:t>1486</w:t>
            </w:r>
          </w:p>
        </w:tc>
        <w:tc>
          <w:tcPr>
            <w:tcW w:type="dxa" w:w="2466"/>
          </w:tcPr>
          <w:p>
            <w:r>
              <w:t>2000</w:t>
            </w:r>
          </w:p>
        </w:tc>
      </w:tr>
      <w:tr>
        <w:tc>
          <w:tcPr>
            <w:tcW w:type="dxa" w:w="2466"/>
          </w:tcPr>
          <w:p>
            <w:r>
              <w:t>Feld 3</w:t>
            </w:r>
          </w:p>
        </w:tc>
        <w:tc>
          <w:tcPr>
            <w:tcW w:type="dxa" w:w="2466"/>
          </w:tcPr>
          <w:p>
            <w:r>
              <w:t>1000</w:t>
            </w:r>
          </w:p>
        </w:tc>
        <w:tc>
          <w:tcPr>
            <w:tcW w:type="dxa" w:w="2466"/>
          </w:tcPr>
          <w:p>
            <w:r>
              <w:t>1493</w:t>
            </w:r>
          </w:p>
        </w:tc>
        <w:tc>
          <w:tcPr>
            <w:tcW w:type="dxa" w:w="2466"/>
          </w:tcPr>
          <w:p>
            <w:r>
              <w:t>2000</w:t>
            </w:r>
          </w:p>
        </w:tc>
      </w:tr>
      <w:tr>
        <w:tc>
          <w:tcPr>
            <w:tcW w:type="dxa" w:w="2466"/>
          </w:tcPr>
          <w:p>
            <w:r>
              <w:t>Feld 4</w:t>
            </w:r>
          </w:p>
        </w:tc>
        <w:tc>
          <w:tcPr>
            <w:tcW w:type="dxa" w:w="2466"/>
          </w:tcPr>
          <w:p>
            <w:r>
              <w:t>1006</w:t>
            </w:r>
          </w:p>
        </w:tc>
        <w:tc>
          <w:tcPr>
            <w:tcW w:type="dxa" w:w="2466"/>
          </w:tcPr>
          <w:p>
            <w:r>
              <w:t>1511</w:t>
            </w:r>
          </w:p>
        </w:tc>
        <w:tc>
          <w:tcPr>
            <w:tcW w:type="dxa" w:w="2466"/>
          </w:tcPr>
          <w:p>
            <w:r>
              <w:t>2000</w:t>
            </w:r>
          </w:p>
        </w:tc>
      </w:tr>
      <w:tr>
        <w:tc>
          <w:tcPr>
            <w:tcW w:type="dxa" w:w="2466"/>
          </w:tcPr>
          <w:p>
            <w:r>
              <w:t>Feld 5</w:t>
            </w:r>
          </w:p>
        </w:tc>
        <w:tc>
          <w:tcPr>
            <w:tcW w:type="dxa" w:w="2466"/>
          </w:tcPr>
          <w:p>
            <w:r>
              <w:t>1000</w:t>
            </w:r>
          </w:p>
        </w:tc>
        <w:tc>
          <w:tcPr>
            <w:tcW w:type="dxa" w:w="2466"/>
          </w:tcPr>
          <w:p>
            <w:r>
              <w:t>1498</w:t>
            </w:r>
          </w:p>
        </w:tc>
        <w:tc>
          <w:tcPr>
            <w:tcW w:type="dxa" w:w="2466"/>
          </w:tcPr>
          <w:p>
            <w:r>
              <w:t>2000</w:t>
            </w:r>
          </w:p>
        </w:tc>
      </w:tr>
    </w:tbl>
    <w:p>
      <w:r>
        <w:t>Nach der Normierung kann eine Totzone angewendet werden. Standard ist 0.03. Feld 6 bleibt bewusst als Rohwert sichtbar, weil seine Bedeutung in der Messunterlage noch nicht abschliessend bestaetigt ist.</w:t>
      </w:r>
    </w:p>
    <w:p>
      <w:pPr>
        <w:pStyle w:val="Heading1"/>
      </w:pPr>
      <w:r>
        <w:t>6. Aenderbare Feldnamen bei stabiler technischer Kennung</w:t>
      </w:r>
    </w:p>
    <w:p>
      <w:r>
        <w:t>Fuer Feld 1 bis Feld 6 ist jeweils ein freies Alias-Textfeld mit maximal 32 Zeichen vorhanden. Der Alias ersetzt die technische Kennung nicht, sondern wird zusaetzlich angezeigt.</w:t>
      </w:r>
    </w:p>
    <w:p>
      <w:pPr>
        <w:ind w:left="283"/>
      </w:pPr>
      <w:r>
        <w:rPr>
          <w:rFonts w:ascii="Consolas" w:hAnsi="Consolas"/>
          <w:sz w:val="17"/>
        </w:rPr>
        <w:t>Feld 1 - Roll</w:t>
        <w:br/>
        <w:t>Feld 2 - Pitch</w:t>
        <w:br/>
        <w:t>Feld 3 - noch unbekannt</w:t>
      </w:r>
    </w:p>
    <w:p>
      <w:r>
        <w:t>Solange die Semantik eines Feldes nicht sicher bestaetigt ist, kann der Alias leer bleiben oder z. B. noch unbekannt enthalten. Die Aliase werden in NVS gespeichert und auch ueber MQTT bereitgestellt.</w:t>
      </w:r>
    </w:p>
    <w:p>
      <w:pPr>
        <w:pStyle w:val="Heading1"/>
      </w:pPr>
      <w:r>
        <w:t>7. Webinterface</w:t>
      </w:r>
    </w:p>
    <w:p>
      <w:r>
        <w:t>Die neue Seite /uart kombiniert Konfiguration und Live-Diagnose. Die Livewerte werden einmal pro Sekunde ueber /uart/status nachgeladen; dadurch wird die Seite nicht komplett neu aufgebaut und gerade bearbeitete Textfelder bleiben erhalten.</w:t>
      </w:r>
    </w:p>
    <w:p>
      <w:pPr>
        <w:pStyle w:val="ListBullet"/>
      </w:pPr>
      <w:r>
        <w:t>Moduswahl Aus / Raw / Decoder</w:t>
      </w:r>
    </w:p>
    <w:p>
      <w:pPr>
        <w:pStyle w:val="ListBullet"/>
      </w:pPr>
      <w:r>
        <w:t>Hardware-UART1 oder UART2</w:t>
      </w:r>
    </w:p>
    <w:p>
      <w:pPr>
        <w:pStyle w:val="ListBullet"/>
      </w:pPr>
      <w:r>
        <w:t>RX- und optionaler TX-GPIO</w:t>
      </w:r>
    </w:p>
    <w:p>
      <w:pPr>
        <w:pStyle w:val="ListBullet"/>
      </w:pPr>
      <w:r>
        <w:t>Baudrate und UART-Frame</w:t>
      </w:r>
    </w:p>
    <w:p>
      <w:pPr>
        <w:pStyle w:val="ListBullet"/>
      </w:pPr>
      <w:r>
        <w:t>Alias-Textfelder fuer Feld 1 bis Feld 6</w:t>
      </w:r>
    </w:p>
    <w:p>
      <w:pPr>
        <w:pStyle w:val="ListBullet"/>
      </w:pPr>
      <w:r>
        <w:t>Min/Mitte/Max fuer Feld 1 bis Feld 5</w:t>
      </w:r>
    </w:p>
    <w:p>
      <w:pPr>
        <w:pStyle w:val="ListBullet"/>
      </w:pPr>
      <w:r>
        <w:t>Totzone</w:t>
      </w:r>
    </w:p>
    <w:p>
      <w:pPr>
        <w:pStyle w:val="ListBullet"/>
      </w:pPr>
      <w:r>
        <w:t>Live-Rohwerte und normierte Werte</w:t>
      </w:r>
    </w:p>
    <w:p>
      <w:pPr>
        <w:pStyle w:val="ListBullet"/>
      </w:pPr>
      <w:r>
        <w:t>Paketzaehler und Checksumme-Statistik</w:t>
      </w:r>
    </w:p>
    <w:p>
      <w:pPr>
        <w:pStyle w:val="ListBullet"/>
      </w:pPr>
      <w:r>
        <w:t>Raw-HEX- und ASCII-Anzeige</w:t>
      </w:r>
    </w:p>
    <w:p>
      <w:pPr>
        <w:pStyle w:val="ListBullet"/>
      </w:pPr>
      <w:r>
        <w:t>Rohdatenpuffer loeschen</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tcPr>
          <w:p>
            <w:r>
              <w:rPr>
                <w:b/>
              </w:rPr>
              <w:t>Route</w:t>
            </w:r>
          </w:p>
        </w:tc>
        <w:tc>
          <w:tcPr>
            <w:tcW w:type="dxa" w:w="3289"/>
            <w:vAlign w:val="center"/>
          </w:tcPr>
          <w:p>
            <w:r>
              <w:rPr>
                <w:b/>
              </w:rPr>
              <w:t>Methode</w:t>
            </w:r>
          </w:p>
        </w:tc>
        <w:tc>
          <w:tcPr>
            <w:tcW w:type="dxa" w:w="3289"/>
            <w:vAlign w:val="center"/>
          </w:tcPr>
          <w:p>
            <w:r>
              <w:rPr>
                <w:b/>
              </w:rPr>
              <w:t>Funktion</w:t>
            </w:r>
          </w:p>
        </w:tc>
      </w:tr>
      <w:tr>
        <w:tc>
          <w:tcPr>
            <w:tcW w:type="dxa" w:w="3289"/>
          </w:tcPr>
          <w:p>
            <w:r>
              <w:t>/uart</w:t>
            </w:r>
          </w:p>
        </w:tc>
        <w:tc>
          <w:tcPr>
            <w:tcW w:type="dxa" w:w="3289"/>
          </w:tcPr>
          <w:p>
            <w:r>
              <w:t>GET</w:t>
            </w:r>
          </w:p>
        </w:tc>
        <w:tc>
          <w:tcPr>
            <w:tcW w:type="dxa" w:w="3289"/>
          </w:tcPr>
          <w:p>
            <w:r>
              <w:t>UART-Konfiguration und Liveanzeige</w:t>
            </w:r>
          </w:p>
        </w:tc>
      </w:tr>
      <w:tr>
        <w:tc>
          <w:tcPr>
            <w:tcW w:type="dxa" w:w="3289"/>
          </w:tcPr>
          <w:p>
            <w:r>
              <w:t>/uart/status</w:t>
            </w:r>
          </w:p>
        </w:tc>
        <w:tc>
          <w:tcPr>
            <w:tcW w:type="dxa" w:w="3289"/>
          </w:tcPr>
          <w:p>
            <w:r>
              <w:t>GET</w:t>
            </w:r>
          </w:p>
        </w:tc>
        <w:tc>
          <w:tcPr>
            <w:tcW w:type="dxa" w:w="3289"/>
          </w:tcPr>
          <w:p>
            <w:r>
              <w:t>JSON-Livestatus</w:t>
            </w:r>
          </w:p>
        </w:tc>
      </w:tr>
      <w:tr>
        <w:tc>
          <w:tcPr>
            <w:tcW w:type="dxa" w:w="3289"/>
          </w:tcPr>
          <w:p>
            <w:r>
              <w:t>/save_uart</w:t>
            </w:r>
          </w:p>
        </w:tc>
        <w:tc>
          <w:tcPr>
            <w:tcW w:type="dxa" w:w="3289"/>
          </w:tcPr>
          <w:p>
            <w:r>
              <w:t>POST</w:t>
            </w:r>
          </w:p>
        </w:tc>
        <w:tc>
          <w:tcPr>
            <w:tcW w:type="dxa" w:w="3289"/>
          </w:tcPr>
          <w:p>
            <w:r>
              <w:t>UART/NVS-Einstellungen speichern und Schnittstelle neu starten</w:t>
            </w:r>
          </w:p>
        </w:tc>
      </w:tr>
      <w:tr>
        <w:tc>
          <w:tcPr>
            <w:tcW w:type="dxa" w:w="3289"/>
          </w:tcPr>
          <w:p>
            <w:r>
              <w:t>/uart_clear</w:t>
            </w:r>
          </w:p>
        </w:tc>
        <w:tc>
          <w:tcPr>
            <w:tcW w:type="dxa" w:w="3289"/>
          </w:tcPr>
          <w:p>
            <w:r>
              <w:t>POST</w:t>
            </w:r>
          </w:p>
        </w:tc>
        <w:tc>
          <w:tcPr>
            <w:tcW w:type="dxa" w:w="3289"/>
          </w:tcPr>
          <w:p>
            <w:r>
              <w:t>Raw-Ringpuffer leeren</w:t>
            </w:r>
          </w:p>
        </w:tc>
      </w:tr>
    </w:tbl>
    <w:p>
      <w:pPr>
        <w:pStyle w:val="Heading1"/>
      </w:pPr>
      <w:r>
        <w:t>8. MQTT-Erweiterung</w:t>
      </w:r>
    </w:p>
    <w:p>
      <w:r>
        <w:t>Der normale Heartbeat enthaelt zusaetzlich den UART-Modus und den Bytezaehler. Unter &lt;Basis&gt;/uart/ werden Status, Paketzaehler und dekodierte Feldwerte veroeffentlicht.</w:t>
      </w:r>
    </w:p>
    <w:p>
      <w:pPr>
        <w:pStyle w:val="ListBullet"/>
      </w:pPr>
      <w:r>
        <w:t>mode, status, bytes</w:t>
      </w:r>
    </w:p>
    <w:p>
      <w:pPr>
        <w:pStyle w:val="ListBullet"/>
      </w:pPr>
      <w:r>
        <w:t>packets, valid_packets, invalid_packets</w:t>
      </w:r>
    </w:p>
    <w:p>
      <w:pPr>
        <w:pStyle w:val="ListBullet"/>
      </w:pPr>
      <w:r>
        <w:t>field1/raw bis field6/raw</w:t>
      </w:r>
    </w:p>
    <w:p>
      <w:pPr>
        <w:pStyle w:val="ListBullet"/>
      </w:pPr>
      <w:r>
        <w:t>field1/norm bis field5/norm</w:t>
      </w:r>
    </w:p>
    <w:p>
      <w:pPr>
        <w:pStyle w:val="ListBullet"/>
      </w:pPr>
      <w:r>
        <w:t>field1/alias bis field6/alias (retained)</w:t>
      </w:r>
    </w:p>
    <w:p>
      <w:r>
        <w:t>Der Raw-HEX-Datenstrom wird absichtlich nicht vollstaendig ueber MQTT gespiegelt, um Broker und Funkverbindung nicht mit ca. 50-Hz-Telegrammen zu belasten.</w:t>
      </w:r>
    </w:p>
    <w:p>
      <w:pPr>
        <w:pStyle w:val="Heading1"/>
      </w:pPr>
      <w:r>
        <w:t>9. NVS-Persistenz</w:t>
      </w:r>
    </w:p>
    <w:p>
      <w:r>
        <w:t>UART-Einstellungen liegen im separaten Namespace uartconf. Gespeichert werden Betriebsart, Hardware-UART, RX/TX, Baudrate, Frame, Totzone, sechs Aliase sowie die Kalibrierwerte fuer Feld 1 bis Feld 5. Fehlende Keys werden vor dem Lesen mit isKey() geprueft und erhalten sichere Defaults.</w:t>
      </w:r>
    </w:p>
    <w:p>
      <w:pPr>
        <w:pStyle w:val="Heading1"/>
      </w:pPr>
      <w:r>
        <w:t>10. Elektrische Voraussetzungen</w:t>
      </w:r>
    </w:p>
    <w:p>
      <w:r>
        <w:t>Der ESP32 arbeitet mit 3,3-V-Logik und seine GPIOs sind nicht 5-V-tolerant. Fuer erste Messungen soll nur RX angeschlossen werden.</w:t>
      </w:r>
    </w:p>
    <w:p>
      <w:pPr>
        <w:pStyle w:val="ListBullet"/>
      </w:pPr>
      <w:r>
        <w:t>GND des ESP32 und GND des Zielgeraets verbinden.</w:t>
      </w:r>
    </w:p>
    <w:p>
      <w:pPr>
        <w:pStyle w:val="ListBullet"/>
      </w:pPr>
      <w:r>
        <w:t>High-Pegel der UART-Leitung vor dem Anschluss messen.</w:t>
      </w:r>
    </w:p>
    <w:p>
      <w:pPr>
        <w:pStyle w:val="ListBullet"/>
      </w:pPr>
      <w:r>
        <w:t>Bei 5 V Pegelwandler oder geeigneten Spannungsteiler verwenden.</w:t>
      </w:r>
    </w:p>
    <w:p>
      <w:pPr>
        <w:pStyle w:val="ListBullet"/>
      </w:pPr>
      <w:r>
        <w:t>TX erst nach Klaerung von Richtung und Bus-Topologie verbinden.</w:t>
      </w:r>
    </w:p>
    <w:p>
      <w:pPr>
        <w:pStyle w:val="Heading1"/>
      </w:pPr>
      <w:r>
        <w:t>11. Projektstruktur und geaenderte Dateien</w:t>
      </w:r>
    </w:p>
    <w:p>
      <w:pPr>
        <w:ind w:left="283"/>
      </w:pPr>
      <w:r>
        <w:rPr>
          <w:rFonts w:ascii="Consolas" w:hAnsi="Consolas"/>
          <w:sz w:val="17"/>
        </w:rPr>
        <w:t>Uart_ESP32/</w:t>
        <w:br/>
        <w:t xml:space="preserve">  .gitignore</w:t>
        <w:br/>
        <w:t xml:space="preserve">  platformio.ini</w:t>
        <w:br/>
        <w:t xml:space="preserve">  README.md</w:t>
        <w:br/>
        <w:t xml:space="preserve">  include/</w:t>
        <w:br/>
        <w:t xml:space="preserve">    arduino_secrets.example.h</w:t>
        <w:br/>
        <w:t xml:space="preserve">    arduino_secrets.h          # lokal; nicht im Auslieferungs-ZIP</w:t>
        <w:br/>
        <w:t xml:space="preserve">  src/</w:t>
        <w:br/>
        <w:t xml:space="preserve">    ConfigDefaults.h</w:t>
        <w:br/>
        <w:t xml:space="preserve">    BatteryMonitor.cpp/.h</w:t>
        <w:br/>
        <w:t xml:space="preserve">    DeepSleepManager.cpp/.h</w:t>
        <w:br/>
        <w:t xml:space="preserve">    MqttManager.cpp/.h</w:t>
        <w:br/>
        <w:t xml:space="preserve">    OtaManager.cpp/.h</w:t>
        <w:br/>
        <w:t xml:space="preserve">    UartManager.cpp/.h         # neu v0.7</w:t>
        <w:br/>
        <w:t xml:space="preserve">    main.cpp</w:t>
        <w:br/>
        <w:t xml:space="preserve">  docs/</w:t>
        <w:br/>
        <w:t xml:space="preserve">    2026-09-17 - Uart_Esp32 - Projektdokumentation - Firmware - v0.7.*</w:t>
        <w:br/>
        <w:t xml:space="preserve">    2026-09-17 - Uart_Esp32 - Commit-Nachricht - UART-Monitor-und-Decoder - v0.7.txt</w:t>
      </w:r>
    </w:p>
    <w:p>
      <w:r>
        <w:t>Der Projektname bleibt Uart_Esp32. Der Root-Ordner Uart_ESP32 wird fuer diese Auslieferung unveraendert aus dem vom Nutzer bereitgestellten Paket uebernommen, damit die Paketstruktur gemaess Projektdokumentationsregel erhalten bleibt.</w:t>
      </w:r>
    </w:p>
    <w:p>
      <w:r>
        <w:t>Geaenderte / neue Dateien:</w:t>
      </w:r>
    </w:p>
    <w:p>
      <w:pPr>
        <w:pStyle w:val="ListBullet"/>
      </w:pPr>
      <w:r>
        <w:t>README.md</w:t>
      </w:r>
    </w:p>
    <w:p>
      <w:pPr>
        <w:pStyle w:val="ListBullet"/>
      </w:pPr>
      <w:r>
        <w:t>include/arduino_secrets.example.h</w:t>
      </w:r>
    </w:p>
    <w:p>
      <w:pPr>
        <w:pStyle w:val="ListBullet"/>
      </w:pPr>
      <w:r>
        <w:t>src/ConfigDefaults.h</w:t>
      </w:r>
    </w:p>
    <w:p>
      <w:pPr>
        <w:pStyle w:val="ListBullet"/>
      </w:pPr>
      <w:r>
        <w:t>src/main.cpp</w:t>
      </w:r>
    </w:p>
    <w:p>
      <w:pPr>
        <w:pStyle w:val="ListBullet"/>
      </w:pPr>
      <w:r>
        <w:t>src/UartManager.h (neu)</w:t>
      </w:r>
    </w:p>
    <w:p>
      <w:pPr>
        <w:pStyle w:val="ListBullet"/>
      </w:pPr>
      <w:r>
        <w:t>src/UartManager.cpp (neu)</w:t>
      </w:r>
    </w:p>
    <w:p>
      <w:pPr>
        <w:pStyle w:val="ListBullet"/>
      </w:pPr>
      <w:r>
        <w:t>docs/2026-09-17 - Uart_Esp32 - Projektdokumentation - Firmware - v0.7.md/.docx/.pdf</w:t>
      </w:r>
    </w:p>
    <w:p>
      <w:pPr>
        <w:pStyle w:val="ListBullet"/>
      </w:pPr>
      <w:r>
        <w:t>docs/2026-09-17 - Uart_Esp32 - Commit-Nachricht - UART-Monitor-und-Decoder - v0.7.txt</w:t>
      </w:r>
    </w:p>
    <w:p>
      <w:pPr>
        <w:pStyle w:val="Heading1"/>
      </w:pPr>
      <w:r>
        <w:t>12. Pruefung und offene Verifikation</w:t>
      </w:r>
    </w:p>
    <w:p>
      <w:r>
        <w:t>Die Aenderungen wurden statisch auf Einbindung, NVS-Key-Laengen, Parsergrenzen, Pinvalidierung und Dokumentationsstruktur geprueft. In der Erstellungsumgebung steht kein PlatformIO-Compiler fuer das ESP32-Arduino-Framework zur Verfuegung. Deshalb ist der lokale Build weiterhin verbindlich.</w:t>
      </w:r>
    </w:p>
    <w:p>
      <w:pPr>
        <w:ind w:left="283"/>
      </w:pPr>
      <w:r>
        <w:rPr>
          <w:rFonts w:ascii="Consolas" w:hAnsi="Consolas"/>
          <w:sz w:val="17"/>
        </w:rPr>
        <w:t>pio run -e uart_esp32_usb -t clean</w:t>
        <w:br/>
        <w:t>pio run -e uart_esp32_usb</w:t>
        <w:br/>
        <w:t>pio run -e uart_esp32_usb -t upload</w:t>
      </w:r>
    </w:p>
    <w:p>
      <w:r>
        <w:t>Der erste Hardwaretest sollte im Raw-/Sniffer-Modus mit TX = -1 erfolgen. Erst nach bestaetigter 3,3-V-Pegellage und sichtbaren 115200-8N1-Daten sollte der Decoder-Modus aktiviert werden.</w:t>
      </w:r>
    </w:p>
    <w:p>
      <w:pPr>
        <w:pStyle w:val="Heading1"/>
      </w:pPr>
      <w:r>
        <w:t>13. Auslieferungsform</w:t>
      </w:r>
    </w:p>
    <w:p>
      <w:r>
        <w:t>Die Auslieferung enthaelt ein vollstaendiges ZIP mit unveraendertem Root-Ordner Uart_ESP32, ein ZIP mit nur geaenderten/neuen Dateien in derselben Struktur, eine Patch-Datei, eine englische BL_-Commit-Nachricht mit Datum und Dateiliste sowie Projektdokumentation als PDF und bearbeitbare DOCX mit identischem Stand v0.7. Die lokale arduino_secrets.h wird nicht ausgeliefert.</w:t>
      </w:r>
    </w:p>
    <w:sectPr w:rsidR="00FC693F" w:rsidRPr="0006063C" w:rsidSect="00034616">
      <w:headerReference w:type="default" r:id="rId9"/>
      <w:footerReference w:type="default" r:id="rId10"/>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Uart_Esp32 | v0.7 | 2026-09-17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Uart_Esp32 - Projektdokumentation - Firmware - v0.7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