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80"/>
              <w:left w:type="dxa" w:w="400"/>
              <w:bottom w:type="dxa" w:w="280"/>
              <w:right w:type="dxa" w:w="400"/>
            </w:tcMar>
          </w:tcPr>
          <w:p>
            <w:pPr>
              <w:jc w:val="center"/>
            </w:pPr>
            <w:r>
              <w:rPr>
                <w:rFonts w:ascii="Arial" w:cs="Arial" w:eastAsia="Arial" w:hAnsi="Arial"/>
                <w:b/>
                <w:bCs/>
                <w:i w:val="false"/>
                <w:iCs w:val="false"/>
                <w:color w:val="FFFFFF"/>
                <w:sz w:val="48"/>
                <w:szCs w:val="48"/>
              </w:rPr>
              <w:t xml:space="preserve">JUDGE Q&amp;A PREP</w:t>
            </w:r>
          </w:p>
          <w:p>
            <w:pPr>
              <w:jc w:val="center"/>
            </w:pPr>
            <w:r>
              <w:rPr>
                <w:rFonts w:ascii="Arial" w:cs="Arial" w:eastAsia="Arial" w:hAnsi="Arial"/>
                <w:b w:val="false"/>
                <w:bCs w:val="false"/>
                <w:i/>
                <w:iCs/>
                <w:color w:val="C9A84C"/>
                <w:sz w:val="22"/>
                <w:szCs w:val="22"/>
              </w:rPr>
              <w:t xml:space="preserve">Anticipated Questions + Model Answers · LACUNA · Mistral Hackathon NYC</w:t>
            </w:r>
          </w:p>
        </w:tc>
      </w:tr>
    </w:tbl>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none" w:color="FFFFFF" w:sz="0"/>
            </w:tcBorders>
            <w:shd w:fill="FFF9E6" w:val="clear"/>
            <w:tcMar>
              <w:top w:type="dxa" w:w="100"/>
              <w:left w:type="dxa" w:w="220"/>
              <w:bottom w:type="dxa" w:w="100"/>
              <w:right w:type="dxa" w:w="220"/>
            </w:tcMar>
          </w:tcPr>
          <w:p>
            <w:r>
              <w:rPr>
                <w:rFonts w:ascii="Arial" w:cs="Arial" w:eastAsia="Arial" w:hAnsi="Arial"/>
                <w:b w:val="false"/>
                <w:bCs w:val="false"/>
                <w:i/>
                <w:iCs/>
                <w:color w:val="333300"/>
                <w:sz w:val="19"/>
                <w:szCs w:val="19"/>
              </w:rPr>
              <w:t xml:space="preserve">These answers should be internalized, not read aloud. Know the logic, not the words. The goal is to answer in 20-30 seconds maximum — concise, confident, no hedging.</w:t>
            </w:r>
          </w:p>
        </w:tc>
      </w:tr>
    </w:tbl>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300"/>
              <w:bottom w:type="dxa" w:w="120"/>
              <w:right w:type="dxa" w:w="300"/>
            </w:tcMar>
          </w:tcPr>
          <w:p>
            <w:r>
              <w:rPr>
                <w:rFonts w:ascii="Arial" w:cs="Arial" w:eastAsia="Arial" w:hAnsi="Arial"/>
                <w:b/>
                <w:bCs/>
                <w:i w:val="false"/>
                <w:iCs w:val="false"/>
                <w:color w:val="FFFFFF"/>
                <w:sz w:val="26"/>
                <w:szCs w:val="26"/>
              </w:rPr>
              <w:t xml:space="preserve">MATH &amp; VALIDITY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AF2FB" w:val="clear"/>
            <w:tcMar>
              <w:top w:type="dxa" w:w="80"/>
              <w:left w:type="dxa" w:w="140"/>
              <w:bottom w:type="dxa" w:w="80"/>
              <w:right w:type="dxa" w:w="140"/>
            </w:tcMar>
          </w:tcPr>
          <w:p>
            <w:r>
              <w:rPr>
                <w:rFonts w:ascii="Arial" w:cs="Arial" w:eastAsia="Arial" w:hAnsi="Arial"/>
                <w:b/>
                <w:bCs/>
                <w:i w:val="false"/>
                <w:iCs w:val="false"/>
                <w:color w:val="1A5276"/>
                <w:sz w:val="20"/>
                <w:szCs w:val="20"/>
              </w:rPr>
              <w:t xml:space="preserve">Q1</w:t>
            </w:r>
          </w:p>
        </w:tc>
        <w:tc>
          <w:tcPr>
            <w:tcW w:type="dxa" w:w="8760"/>
            <w:tcBorders>
              <w:top w:val="single" w:color="DDDDDD" w:sz="1"/>
              <w:left w:val="single" w:color="DDDDDD" w:sz="1"/>
              <w:bottom w:val="single" w:color="DDDDDD" w:sz="1"/>
              <w:right w:val="single" w:color="DDDDDD" w:sz="1"/>
            </w:tcBorders>
            <w:shd w:fill="EAF2FB"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How do you know the concept positions are real and not artifacts of UMAP?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UMAP is only the visualization layer. The real signal is in the cosine distance matrices computed before UMAP runs. If two concepts have a cosine distance of 0.35 in English and 0.54 in German, that difference is a property of the embeddings, not of UMAP. You can reproduce the exact same distances without any visualization at all — just run embed.py --validate-only.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AF2FB" w:val="clear"/>
            <w:tcMar>
              <w:top w:type="dxa" w:w="80"/>
              <w:left w:type="dxa" w:w="140"/>
              <w:bottom w:type="dxa" w:w="80"/>
              <w:right w:type="dxa" w:w="140"/>
            </w:tcMar>
          </w:tcPr>
          <w:p>
            <w:r>
              <w:rPr>
                <w:rFonts w:ascii="Arial" w:cs="Arial" w:eastAsia="Arial" w:hAnsi="Arial"/>
                <w:b/>
                <w:bCs/>
                <w:i w:val="false"/>
                <w:iCs w:val="false"/>
                <w:color w:val="1A5276"/>
                <w:sz w:val="20"/>
                <w:szCs w:val="20"/>
              </w:rPr>
              <w:t xml:space="preserve">Q2</w:t>
            </w:r>
          </w:p>
        </w:tc>
        <w:tc>
          <w:tcPr>
            <w:tcW w:type="dxa" w:w="8760"/>
            <w:tcBorders>
              <w:top w:val="single" w:color="DDDDDD" w:sz="1"/>
              <w:left w:val="single" w:color="DDDDDD" w:sz="1"/>
              <w:bottom w:val="single" w:color="DDDDDD" w:sz="1"/>
              <w:right w:val="single" w:color="DDDDDD" w:sz="1"/>
            </w:tcBorders>
            <w:shd w:fill="EAF2FB"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Why BGE-M3 specifically? What makes it better than other multilingual embedders?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BGE-M3 is the state-of-the-art multilingual dense retrieval model from BAAI — it embeds all languages into the same 1024-dimensional vector space. This is critical: it means the cosine distance between 'reparations' in English and 'Reparationen' in German is a real geometric distance in shared space, not two separate models being compared. NVIDIA Nemotron Embed is our dual-convergence validator — if both models agree on a lacuna, the signal is stronger.</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AF2FB" w:val="clear"/>
            <w:tcMar>
              <w:top w:type="dxa" w:w="80"/>
              <w:left w:type="dxa" w:w="140"/>
              <w:bottom w:type="dxa" w:w="80"/>
              <w:right w:type="dxa" w:w="140"/>
            </w:tcMar>
          </w:tcPr>
          <w:p>
            <w:r>
              <w:rPr>
                <w:rFonts w:ascii="Arial" w:cs="Arial" w:eastAsia="Arial" w:hAnsi="Arial"/>
                <w:b/>
                <w:bCs/>
                <w:i w:val="false"/>
                <w:iCs w:val="false"/>
                <w:color w:val="1A5276"/>
                <w:sz w:val="20"/>
                <w:szCs w:val="20"/>
              </w:rPr>
              <w:t xml:space="preserve">Q3</w:t>
            </w:r>
          </w:p>
        </w:tc>
        <w:tc>
          <w:tcPr>
            <w:tcW w:type="dxa" w:w="8760"/>
            <w:tcBorders>
              <w:top w:val="single" w:color="DDDDDD" w:sz="1"/>
              <w:left w:val="single" w:color="DDDDDD" w:sz="1"/>
              <w:bottom w:val="single" w:color="DDDDDD" w:sz="1"/>
              <w:right w:val="single" w:color="DDDDDD" w:sz="1"/>
            </w:tcBorders>
            <w:shd w:fill="EAF2FB"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Your delta threshold of 0.10 — how did you choose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Empirically, from the validation run on our 43-concept Versailles dataset. The hero pairs range from delta 0.128 to 0.183. Random noise in BGE-M3 produces deltas under 0.05. We set 0.10 as the conservative floor — pairs below this threshold are killed by the Validator agent before they hit the visualization. The null model check (permuting language labels) confirms this boundary.</w:t>
            </w:r>
          </w:p>
        </w:tc>
      </w:tr>
    </w:tbl>
    <w:p>
      <w:pPr>
        <w:spacing w:before="0" w:after="160"/>
      </w:pPr>
    </w:p>
    <w:p>
      <w:pPr>
        <w:pBdr>
          <w:bottom w:val="single" w:color="CCCCCC" w:sz="4" w:space="1"/>
        </w:pBdr>
        <w:spacing w:before="0" w:after="200"/>
      </w:pP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300"/>
              <w:bottom w:type="dxa" w:w="120"/>
              <w:right w:type="dxa" w:w="300"/>
            </w:tcMar>
          </w:tcPr>
          <w:p>
            <w:r>
              <w:rPr>
                <w:rFonts w:ascii="Arial" w:cs="Arial" w:eastAsia="Arial" w:hAnsi="Arial"/>
                <w:b/>
                <w:bCs/>
                <w:i w:val="false"/>
                <w:iCs w:val="false"/>
                <w:color w:val="FFFFFF"/>
                <w:sz w:val="26"/>
                <w:szCs w:val="26"/>
              </w:rPr>
              <w:t xml:space="preserve">DATA &amp; BIAS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i w:val="false"/>
                <w:iCs w:val="false"/>
                <w:color w:val="C0392B"/>
                <w:sz w:val="20"/>
                <w:szCs w:val="20"/>
              </w:rPr>
              <w:t xml:space="preserve">Q1</w:t>
            </w:r>
          </w:p>
        </w:tc>
        <w:tc>
          <w:tcPr>
            <w:tcW w:type="dxa" w:w="876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Your French definitions are written by a human. Doesn't that bias the positions?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Yes, and this is by design. The definitions are not arbitrary — they are historically grounded conceptual framings from the French perspective of 1919 (Clemenceau's position, the Alsace-Lorraine frame, the Allied betrayal angle). The whole thesis is that language carries cultural framing. What you call 'bias' is actually the signal we're measuring. The Validator agent checks that each definition produces statistically significant divergence from a null model before it enters the visualization.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i w:val="false"/>
                <w:iCs w:val="false"/>
                <w:color w:val="C0392B"/>
                <w:sz w:val="20"/>
                <w:szCs w:val="20"/>
              </w:rPr>
              <w:t xml:space="preserve">Q2</w:t>
            </w:r>
          </w:p>
        </w:tc>
        <w:tc>
          <w:tcPr>
            <w:tcW w:type="dxa" w:w="876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How do you prevent the LLM from hallucinating concept positions?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LLM never assigns positions. It only extracts conceptual frames from text. The Validator agent then runs cosine distance checks on those frames — if a concept doesn't show real structural difference across languages, it gets killed before reaching the terrain. Every position is a UMAP projection of a BGE-M3 cosine distance. The LLM is upstream of the geometry; it never touches the coordinates.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i w:val="false"/>
                <w:iCs w:val="false"/>
                <w:color w:val="C0392B"/>
                <w:sz w:val="20"/>
                <w:szCs w:val="20"/>
              </w:rPr>
              <w:t xml:space="preserve">Q3</w:t>
            </w:r>
          </w:p>
        </w:tc>
        <w:tc>
          <w:tcPr>
            <w:tcW w:type="dxa" w:w="876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You only have 43 concepts. Isn't that too small a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For the curated Versailles demo, 43 is sufficient because they're tightly domain-scoped and hand-validated. The live pipeline scales this dynamically — when a judge submits a topic, the Extractor generates 8-12 frames per language, which is the optimal density for UMAP projection at this scale. More concepts without domain coherence would reduce cluster clarity.</w:t>
            </w:r>
          </w:p>
        </w:tc>
      </w:tr>
    </w:tbl>
    <w:p>
      <w:pPr>
        <w:spacing w:before="0" w:after="160"/>
      </w:pPr>
    </w:p>
    <w:p>
      <w:pPr>
        <w:pBdr>
          <w:bottom w:val="single" w:color="CCCCCC" w:sz="4" w:space="1"/>
        </w:pBdr>
        <w:spacing w:before="0" w:after="200"/>
      </w:pP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300"/>
              <w:bottom w:type="dxa" w:w="120"/>
              <w:right w:type="dxa" w:w="300"/>
            </w:tcMar>
          </w:tcPr>
          <w:p>
            <w:r>
              <w:rPr>
                <w:rFonts w:ascii="Arial" w:cs="Arial" w:eastAsia="Arial" w:hAnsi="Arial"/>
                <w:b/>
                <w:bCs/>
                <w:i w:val="false"/>
                <w:iCs w:val="false"/>
                <w:color w:val="FFFFFF"/>
                <w:sz w:val="26"/>
                <w:szCs w:val="26"/>
              </w:rPr>
              <w:t xml:space="preserve">PRODUCT &amp; VISION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Q1</w:t>
            </w:r>
          </w:p>
        </w:tc>
        <w:tc>
          <w:tcPr>
            <w:tcW w:type="dxa" w:w="876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This is interesting research, but what's the actual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Three immediate use cases. One: diplomatic and policy analysis — understanding why a term in one language triggers different responses in another before negotiations break down. Two: journalism and media — detecting structural framing differences in international coverage of the same event. Three: education — teaching conceptual topology instead of vocabulary. The live pipeline means any document or topic can be analyzed in seconds, not weeks of manual research.</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Q2</w:t>
            </w:r>
          </w:p>
        </w:tc>
        <w:tc>
          <w:tcPr>
            <w:tcW w:type="dxa" w:w="876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What stops a competitor from replicating this in a weekend?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visualization is easy to copy. The intellectual core is the thesis — that structural divergence in embeddings maps to real-world incomprehension — and the validation methodology that proves it. That took weeks of domain research and embedding validation, not a weekend. The Versailles case study is not decoration; it's the proof of concept that the methodology works on a historically documented case of catastrophic linguistic misunderstanding.</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Q3</w:t>
            </w:r>
          </w:p>
        </w:tc>
        <w:tc>
          <w:tcPr>
            <w:tcW w:type="dxa" w:w="876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Why Mistral for the intelligence layer and not GPT-4 or Gemini?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Two reasons. Mistral Large 3 has the strongest multilingual performance for European languages, which is critical for EN/DE/FR/AR topology. More importantly, Mistral Agents API gives us native multi-agent orchestration — our four agents (Extractor, Validator, Interpreter, Orchestrator) run as a coordinated pipeline, not independent API calls. That architecture is what enables the live generation demo.</w:t>
            </w:r>
          </w:p>
        </w:tc>
      </w:tr>
    </w:tbl>
    <w:p>
      <w:pPr>
        <w:spacing w:before="0" w:after="160"/>
      </w:pPr>
    </w:p>
    <w:p>
      <w:pPr>
        <w:pBdr>
          <w:bottom w:val="single" w:color="CCCCCC" w:sz="4" w:space="1"/>
        </w:pBdr>
        <w:spacing w:before="0" w:after="200"/>
      </w:pP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4513" w:val="clear"/>
            <w:tcMar>
              <w:top w:type="dxa" w:w="120"/>
              <w:left w:type="dxa" w:w="300"/>
              <w:bottom w:type="dxa" w:w="120"/>
              <w:right w:type="dxa" w:w="300"/>
            </w:tcMar>
          </w:tcPr>
          <w:p>
            <w:r>
              <w:rPr>
                <w:rFonts w:ascii="Arial" w:cs="Arial" w:eastAsia="Arial" w:hAnsi="Arial"/>
                <w:b/>
                <w:bCs/>
                <w:i w:val="false"/>
                <w:iCs w:val="false"/>
                <w:color w:val="FFFFFF"/>
                <w:sz w:val="26"/>
                <w:szCs w:val="26"/>
              </w:rPr>
              <w:t xml:space="preserve">CONTINGENCY — IF SOMETHING BREAKS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FF9E6" w:val="clear"/>
            <w:tcMar>
              <w:top w:type="dxa" w:w="80"/>
              <w:left w:type="dxa" w:w="140"/>
              <w:bottom w:type="dxa" w:w="80"/>
              <w:right w:type="dxa" w:w="140"/>
            </w:tcMar>
          </w:tcPr>
          <w:p>
            <w:r>
              <w:rPr>
                <w:rFonts w:ascii="Arial" w:cs="Arial" w:eastAsia="Arial" w:hAnsi="Arial"/>
                <w:b/>
                <w:bCs/>
                <w:i w:val="false"/>
                <w:iCs w:val="false"/>
                <w:color w:val="8B4513"/>
                <w:sz w:val="20"/>
                <w:szCs w:val="20"/>
              </w:rPr>
              <w:t xml:space="preserve">Q1</w:t>
            </w:r>
          </w:p>
        </w:tc>
        <w:tc>
          <w:tcPr>
            <w:tcW w:type="dxa" w:w="8760"/>
            <w:tcBorders>
              <w:top w:val="single" w:color="DDDDDD" w:sz="1"/>
              <w:left w:val="single" w:color="DDDDDD" w:sz="1"/>
              <w:bottom w:val="single" w:color="DDDDDD" w:sz="1"/>
              <w:right w:val="single" w:color="DDDDDD" w:sz="1"/>
            </w:tcBorders>
            <w:shd w:fill="FFF9E6"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What if the live pipeline is slow or down during the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We have three layers of fallback. First: the Versailles terrain is pre-embedded and always available. Second: interpreter_cards.json contains pre-computed explanations for all hero pairs — the Interpreter agent can serve these instantly without an API call. Third: if everything is down, the terrain restructuring between EN and DE is the demo — the live generation is the bonus, not the core.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FF9E6" w:val="clear"/>
            <w:tcMar>
              <w:top w:type="dxa" w:w="80"/>
              <w:left w:type="dxa" w:w="140"/>
              <w:bottom w:type="dxa" w:w="80"/>
              <w:right w:type="dxa" w:w="140"/>
            </w:tcMar>
          </w:tcPr>
          <w:p>
            <w:r>
              <w:rPr>
                <w:rFonts w:ascii="Arial" w:cs="Arial" w:eastAsia="Arial" w:hAnsi="Arial"/>
                <w:b/>
                <w:bCs/>
                <w:i w:val="false"/>
                <w:iCs w:val="false"/>
                <w:color w:val="8B4513"/>
                <w:sz w:val="20"/>
                <w:szCs w:val="20"/>
              </w:rPr>
              <w:t xml:space="preserve">Q2</w:t>
            </w:r>
          </w:p>
        </w:tc>
        <w:tc>
          <w:tcPr>
            <w:tcW w:type="dxa" w:w="8760"/>
            <w:tcBorders>
              <w:top w:val="single" w:color="DDDDDD" w:sz="1"/>
              <w:left w:val="single" w:color="DDDDDD" w:sz="1"/>
              <w:bottom w:val="single" w:color="DDDDDD" w:sz="1"/>
              <w:right w:val="single" w:color="DDDDDD" w:sz="1"/>
            </w:tcBorders>
            <w:shd w:fill="FFF9E6" w:val="clear"/>
            <w:tcMar>
              <w:top w:type="dxa" w:w="80"/>
              <w:left w:type="dxa" w:w="140"/>
              <w:bottom w:type="dxa" w:w="80"/>
              <w:right w:type="dxa" w:w="140"/>
            </w:tcMar>
          </w:tcPr>
          <w:p>
            <w:r>
              <w:rPr>
                <w:rFonts w:ascii="Arial" w:cs="Arial" w:eastAsia="Arial" w:hAnsi="Arial"/>
                <w:b/>
                <w:bCs/>
                <w:i w:val="false"/>
                <w:iCs w:val="false"/>
                <w:color w:val="222222"/>
                <w:sz w:val="19"/>
                <w:szCs w:val="19"/>
              </w:rPr>
              <w:t xml:space="preserve">What if a judge picks a topic that produces weak divergence?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E8449"/>
                <w:sz w:val="20"/>
                <w:szCs w:val="20"/>
              </w:rPr>
              <w:t xml:space="preserve">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Validator agent kills concepts with delta under 0.10 before they hit the terrain. A topic with weak divergence will produce a terrain that looks similar across languages — which is itself a result. We say: 'This topic has low structural divergence across languages. That's interesting too — it means these cultures think about this concept similarly.' There's no failure state, only different levels of divergence.</w:t>
            </w:r>
          </w:p>
        </w:tc>
      </w:tr>
    </w:tbl>
    <w:p>
      <w:pPr>
        <w:spacing w:before="0" w:after="160"/>
      </w:pPr>
    </w:p>
    <w:p>
      <w:pPr>
        <w:pBdr>
          <w:bottom w:val="single" w:color="CCCCCC" w:sz="4" w:space="1"/>
        </w:pBdr>
        <w:spacing w:before="0" w:after="200"/>
      </w:pPr>
    </w:p>
    <w:p>
      <w:pPr>
        <w:spacing w:before="0" w:after="200"/>
      </w:pPr>
    </w:p>
    <w:p>
      <w:pPr>
        <w:spacing w:before="0" w:after="160"/>
        <w:jc w:val="left"/>
      </w:pPr>
      <w:r>
        <w:rPr>
          <w:rFonts w:ascii="Arial" w:cs="Arial" w:eastAsia="Arial" w:hAnsi="Arial"/>
          <w:b w:val="false"/>
          <w:bCs w:val="false"/>
          <w:i/>
          <w:iCs/>
          <w:color w:val="888888"/>
          <w:sz w:val="17"/>
          <w:szCs w:val="17"/>
        </w:rPr>
        <w:t xml:space="preserve">Remember: if you don't know the answer, say 'Great question — Brendan owns the embedding math, let me hand it to him.' Never bluff on technical specifics.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2026-02-28T15:29:50.591Z</dcterms:created>
  <dcterms:modified xsi:type="dcterms:W3CDTF">2026-02-28T15:29:50.591Z</dcterms:modified>
</cp:coreProperties>
</file>

<file path=docProps/custom.xml><?xml version="1.0" encoding="utf-8"?>
<Properties xmlns="http://schemas.openxmlformats.org/officeDocument/2006/custom-properties" xmlns:vt="http://schemas.openxmlformats.org/officeDocument/2006/docPropsVTypes"/>
</file>