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44"/>
          <w:szCs w:val="44"/>
        </w:rPr>
        <w:t xml:space="preserve">Latent Order Language Model (LOLM)</w:t>
      </w:r>
    </w:p>
    <w:p>
      <w:pPr>
        <w:spacing w:after="80"/>
        <w:jc w:val="center"/>
      </w:pPr>
      <w:r>
        <w:rPr>
          <w:rFonts w:ascii="Arial" w:cs="Arial" w:eastAsia="Arial" w:hAnsi="Arial"/>
          <w:color w:val="666666"/>
          <w:sz w:val="24"/>
          <w:szCs w:val="24"/>
        </w:rPr>
        <w:t xml:space="preserve">A Hybrid Transformer-SSM Architecture with Phase-Selective Regime Detection</w:t>
      </w:r>
    </w:p>
    <w:p>
      <w:pPr>
        <w:spacing w:after="400"/>
        <w:jc w:val="center"/>
      </w:pPr>
      <w:r>
        <w:rPr>
          <w:rFonts w:ascii="Arial" w:cs="Arial" w:eastAsia="Arial" w:hAnsi="Arial"/>
          <w:color w:val="888888"/>
          <w:sz w:val="20"/>
          <w:szCs w:val="20"/>
        </w:rPr>
        <w:t xml:space="preserve">Bryan Leonard &amp; Brandyn Leonard  |  Independent Researchers  |  March 2026</w:t>
      </w:r>
    </w:p>
    <w:p>
      <w:pPr>
        <w:pStyle w:val="Heading1"/>
      </w:pPr>
      <w:r>
        <w:t xml:space="preserve">1. Project Summary</w:t>
      </w:r>
    </w:p>
    <w:p>
      <w:pPr>
        <w:spacing w:after="200"/>
      </w:pPr>
      <w:r>
        <w:rPr>
          <w:sz w:val="22"/>
          <w:szCs w:val="22"/>
        </w:rPr>
        <w:t xml:space="preserve">LOLM is a novel 304M-parameter hybrid architecture that fuses a Transformer surface decoder with a selective state-space model (SSM), persistent memory banks, learned regime detection, and a dynamic manifestation gate. Unlike standard Transformers that model language as a flat token sequence, LOLM hypothesizes that language has latent structure—regimes, phase transitions, and long-range dependencies—that can be explicitly modeled through dedicated architectural components.</w:t>
      </w:r>
    </w:p>
    <w:p>
      <w:pPr>
        <w:spacing w:after="200"/>
      </w:pPr>
      <w:r>
        <w:rPr>
          <w:sz w:val="22"/>
          <w:szCs w:val="22"/>
        </w:rPr>
        <w:t xml:space="preserve">Preliminary results on a 304M-parameter model trained on FineWeb-Edu (2B tokens) demonstrate that LOLM outperforms Pythia-410M on all evaluation metrics at matched compute, and maintains superior long-range context utilization even when Pythia is given 2x more training data. Component ablation studies confirm that each architectural innovation contributes measurably to performance. This proposal requests compute to scale LOLM to 1B+ parameters and conduct comprehensive evaluation against established baselines.</w:t>
      </w:r>
    </w:p>
    <w:p>
      <w:pPr>
        <w:pStyle w:val="Heading1"/>
      </w:pPr>
      <w:r>
        <w:t xml:space="preserve">2. Architecture</w:t>
      </w:r>
    </w:p>
    <w:p>
      <w:pPr>
        <w:spacing w:after="200"/>
      </w:pPr>
      <w:r>
        <w:rPr>
          <w:sz w:val="22"/>
          <w:szCs w:val="22"/>
        </w:rPr>
        <w:t xml:space="preserve">LOLM combines five interacting subsystems, each addressing a different aspect of language modeling: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Surface Decoder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16-layer pre-norm Transformer (d=1024, 16 heads) with RoPE. Processes raw token sequences.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Latent SSM Core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4-layer selective SSM (Mamba-style) with parallel scan and CUDA kernels. Maintains compressed latent state across the full sequence, providing O(1) memory per step.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Regime Layer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32-code discrete phase detector using Gumbel-Softmax with neighbor interaction (1D conv kernel=7). Identifies emergent linguistic regimes through local token interactions, inspired by Multi-Scale Phase Selection Theory.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Persistent Memory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3 banks (episodic/semantic/self) with 128 slots each. Attention-based read/write with entropy regularization for selective memory access.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Manifestation Gate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Learned sigmoid gate that dynamically blends surface (Transformer) and latent (SSM) representations based on input context. Final output: g*h + (1-g)*z + memory + regime.</w:t>
            </w:r>
          </w:p>
        </w:tc>
      </w:tr>
    </w:tbl>
    <w:p>
      <w:pPr>
        <w:spacing w:after="200"/>
      </w:pPr>
    </w:p>
    <w:p>
      <w:pPr>
        <w:pStyle w:val="Heading2"/>
      </w:pPr>
      <w:r>
        <w:t xml:space="preserve">Key Technical Innovations</w:t>
      </w:r>
    </w:p>
    <w:p>
      <w:pPr>
        <w:pStyle w:val="ListParagraph"/>
        <w:numPr>
          <w:ilvl w:val="0"/>
          <w:numId w:val="2"/>
        </w:numPr>
        <w:spacing w:after="80"/>
      </w:pPr>
      <w:r>
        <w:rPr>
          <w:b/>
          <w:bCs/>
          <w:sz w:val="22"/>
          <w:szCs w:val="22"/>
        </w:rPr>
        <w:t xml:space="preserve">Gradient isolation: </w:t>
      </w:r>
      <w:r>
        <w:rPr>
          <w:sz w:val="22"/>
          <w:szCs w:val="22"/>
        </w:rPr>
        <w:t xml:space="preserve">Regime embeddings are detached before fusion, preventing token loss from collapsing discrete codes (inspired by VQ-VAE). This solved regime collapse that persisted across all prior training runs.</w:t>
      </w:r>
    </w:p>
    <w:p>
      <w:pPr>
        <w:pStyle w:val="ListParagraph"/>
        <w:numPr>
          <w:ilvl w:val="0"/>
          <w:numId w:val="2"/>
        </w:numPr>
        <w:spacing w:after="80"/>
      </w:pPr>
      <w:r>
        <w:rPr>
          <w:b/>
          <w:bCs/>
          <w:sz w:val="22"/>
          <w:szCs w:val="22"/>
        </w:rPr>
        <w:t xml:space="preserve">CPC future prediction: </w:t>
      </w:r>
      <w:r>
        <w:rPr>
          <w:sz w:val="22"/>
          <w:szCs w:val="22"/>
        </w:rPr>
        <w:t xml:space="preserve">SimCLR/CLIP-style projection heads with calibrated temperature for contrastive predictive coding, enabling the SSM to learn future-aware representations.</w:t>
      </w:r>
    </w:p>
    <w:p>
      <w:pPr>
        <w:pStyle w:val="ListParagraph"/>
        <w:numPr>
          <w:ilvl w:val="0"/>
          <w:numId w:val="2"/>
        </w:numPr>
        <w:spacing w:after="80"/>
      </w:pPr>
      <w:r>
        <w:rPr>
          <w:b/>
          <w:bCs/>
          <w:sz w:val="22"/>
          <w:szCs w:val="22"/>
        </w:rPr>
        <w:t xml:space="preserve">MPST-inspired regime detection: </w:t>
      </w:r>
      <w:r>
        <w:rPr>
          <w:sz w:val="22"/>
          <w:szCs w:val="22"/>
        </w:rPr>
        <w:t xml:space="preserve">Neighbor interaction on regime logits creates coherent regime segments through local token interactions, rather than independent per-token assignment.</w:t>
      </w:r>
    </w:p>
    <w:p>
      <w:pPr>
        <w:pStyle w:val="ListParagraph"/>
        <w:numPr>
          <w:ilvl w:val="0"/>
          <w:numId w:val="2"/>
        </w:numPr>
        <w:spacing w:after="200"/>
      </w:pPr>
      <w:r>
        <w:rPr>
          <w:b/>
          <w:bCs/>
          <w:sz w:val="22"/>
          <w:szCs w:val="22"/>
        </w:rPr>
        <w:t xml:space="preserve">7-loss training objective: </w:t>
      </w:r>
      <w:r>
        <w:rPr>
          <w:sz w:val="22"/>
          <w:szCs w:val="22"/>
        </w:rPr>
        <w:t xml:space="preserve">Token CE + CPC contrastive + changepoint alignment + regime diversity + competitive gate + memory focus + gate regularization.</w:t>
      </w:r>
    </w:p>
    <w:p>
      <w:pPr>
        <w:pStyle w:val="Heading1"/>
      </w:pPr>
      <w:r>
        <w:t xml:space="preserve">3. Preliminary Results</w:t>
      </w:r>
    </w:p>
    <w:p>
      <w:pPr>
        <w:spacing w:after="200"/>
      </w:pPr>
      <w:r>
        <w:rPr>
          <w:sz w:val="22"/>
          <w:szCs w:val="22"/>
        </w:rPr>
        <w:t xml:space="preserve">All results below were obtained from a 304M-parameter LOLM trained for 30,000 steps on FineWeb-Edu (~2B tokens) using a single NVIDIA H200 GPU. Evaluation is on WikiText-103 test split.</w:t>
      </w:r>
    </w:p>
    <w:p>
      <w:pPr>
        <w:pStyle w:val="Heading2"/>
      </w:pPr>
      <w:r>
        <w:t xml:space="preserve">3.1 Component Ablation Study</w:t>
      </w:r>
    </w:p>
    <w:p>
      <w:pPr>
        <w:spacing w:after="120"/>
      </w:pPr>
      <w:r>
        <w:rPr>
          <w:sz w:val="22"/>
          <w:szCs w:val="22"/>
        </w:rPr>
        <w:t xml:space="preserve">Inference-time ablation using forward hooks to disable individual components without retraining. Evaluated on 50 batches of WikiText-103 (seq_len=2048):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Variant</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PPL</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0"/>
                <w:szCs w:val="20"/>
              </w:rPr>
              <w:t xml:space="preserve">Full LOLM</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59.23</w:t>
            </w:r>
          </w:p>
        </w:tc>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Baseline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Memory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59.23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Memory not contributing (future work)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Regime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123.73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+108.9%</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Regime detection helps significantly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SSM (gate=1)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499.96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+744.1%</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SSM latent path is essential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No Gate (g=0.5)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595.43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+905.2%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Dynamic gating is critical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Decoder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2198.58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C00000"/>
                <w:sz w:val="20"/>
                <w:szCs w:val="20"/>
              </w:rPr>
              <w:t xml:space="preserve">+3611.8%</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All latent components help massively</w:t>
            </w:r>
          </w:p>
        </w:tc>
      </w:tr>
    </w:tbl>
    <w:p>
      <w:pPr>
        <w:spacing w:after="200"/>
      </w:pPr>
    </w:p>
    <w:p>
      <w:pPr>
        <w:pStyle w:val="Heading2"/>
      </w:pPr>
      <w:r>
        <w:t xml:space="preserve">3.2 LOLM vs Pythia-410M Comparison</w:t>
      </w:r>
    </w:p>
    <w:p>
      <w:pPr>
        <w:spacing w:after="120"/>
      </w:pPr>
      <w:r>
        <w:rPr>
          <w:sz w:val="22"/>
          <w:szCs w:val="22"/>
        </w:rPr>
        <w:t xml:space="preserve">Head-to-head evaluation at three training data points. LOLM has 26% fewer parameters (304M vs 410M).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LOLM-304M</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Pythia (2B tok)</w:t>
            </w:r>
          </w:p>
        </w:tc>
        <w:tc>
          <w:tcPr>
            <w:tcW w:type="dxa" w:w="2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Pythia (4B tok)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Parameters</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303.6M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410M</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410M</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Tokens seen</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~2B</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~2B</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~4B</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Overall BPC</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6.10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7.16</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5.76</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Overall PPL</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68.37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142.93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333333"/>
                <w:sz w:val="20"/>
                <w:szCs w:val="20"/>
              </w:rPr>
              <w:t xml:space="preserve">54.32</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Late-position BPC change</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-17.0%</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-11.4%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-14.0%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Context advantage (top-1)</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+45.4%</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+34.7%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+45.7%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Bigram repetition</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31.3%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39.3%</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333333"/>
                <w:sz w:val="20"/>
                <w:szCs w:val="20"/>
              </w:rPr>
              <w:t xml:space="preserve">Distinct-2</w:t>
            </w:r>
          </w:p>
        </w:tc>
        <w:tc>
          <w:tcPr>
            <w:tcW w:type="dxa" w:w="212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0.687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0.607</w:t>
            </w:r>
          </w:p>
        </w:tc>
        <w:tc>
          <w:tcPr>
            <w:tcW w:type="dxa" w:w="2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r>
    </w:tbl>
    <w:p>
      <w:pPr>
        <w:spacing w:after="120"/>
      </w:pPr>
    </w:p>
    <w:p>
      <w:pPr>
        <w:spacing w:after="200"/>
      </w:pPr>
      <w:r>
        <w:rPr>
          <w:i/>
          <w:iCs/>
          <w:sz w:val="22"/>
          <w:szCs w:val="22"/>
        </w:rPr>
        <w:t xml:space="preserve">Key finding: At matched compute (2B tokens), LOLM outperforms Pythia-410M on all metrics despite 26% fewer parameters. Even when Pythia is given 2x more training data (4B tokens), LOLM maintains superior long-range context utilization (-17.0% vs -14.0% late-position improvement, +45.4% vs +45.7% context advantage). This demonstrates that LOLM’s architectural innovations provide capabilities that cannot be replicated by simply scaling data.</w:t>
      </w:r>
    </w:p>
    <w:p>
      <w:pPr>
        <w:pStyle w:val="Heading1"/>
      </w:pPr>
      <w:r>
        <w:t xml:space="preserve">4. Proposed Research</w:t>
      </w:r>
    </w:p>
    <w:p>
      <w:pPr>
        <w:spacing w:after="120"/>
      </w:pPr>
      <w:r>
        <w:rPr>
          <w:sz w:val="22"/>
          <w:szCs w:val="22"/>
        </w:rPr>
        <w:t xml:space="preserve">Additional compute would enable three research directions that are currently blocked by resource constraints:</w:t>
      </w:r>
    </w:p>
    <w:p>
      <w:pPr>
        <w:pStyle w:val="Heading2"/>
      </w:pPr>
      <w:r>
        <w:t xml:space="preserve">4.1 Scale to 1B Parameters</w:t>
      </w:r>
    </w:p>
    <w:p>
      <w:pPr>
        <w:spacing w:after="200"/>
      </w:pPr>
      <w:r>
        <w:rPr>
          <w:sz w:val="22"/>
          <w:szCs w:val="22"/>
        </w:rPr>
        <w:t xml:space="preserve">Current results at 304M are promising but insufficient to evaluate LOLM’s scaling behavior. A 1B-parameter model trained on 50B+ tokens would establish whether the architectural advantages persist or grow at scale. Specific questions: Does the latent advantage increase with model size? Does the regime layer develop more semantically meaningful codes with more capacity?</w:t>
      </w:r>
    </w:p>
    <w:p>
      <w:pPr>
        <w:pStyle w:val="Heading2"/>
      </w:pPr>
      <w:r>
        <w:t xml:space="preserve">4.2 Standard Benchmark Evaluation</w:t>
      </w:r>
    </w:p>
    <w:p>
      <w:pPr>
        <w:spacing w:after="200"/>
      </w:pPr>
      <w:r>
        <w:rPr>
          <w:sz w:val="22"/>
          <w:szCs w:val="22"/>
        </w:rPr>
        <w:t xml:space="preserve">Running the lm-evaluation-harness suite (HellaSwag, ARC, MMLU, WinoGrande) requires dedicated GPU time for both LOLM and matched baselines. These benchmarks are essential for peer-reviewed publication and direct comparison with established models.</w:t>
      </w:r>
    </w:p>
    <w:p>
      <w:pPr>
        <w:pStyle w:val="Heading2"/>
      </w:pPr>
      <w:r>
        <w:t xml:space="preserve">4.3 Memory Architecture Redesign</w:t>
      </w:r>
    </w:p>
    <w:p>
      <w:pPr>
        <w:spacing w:after="200"/>
      </w:pPr>
      <w:r>
        <w:rPr>
          <w:sz w:val="22"/>
          <w:szCs w:val="22"/>
        </w:rPr>
        <w:t xml:space="preserve">The ablation study revealed that the persistent memory component is not contributing to performance (0.0% PPL change when removed). With additional compute, we plan to investigate alternative memory architectures including retrieval-augmented approaches and memory-as-attention variants. Since 3 of 4 components already demonstrate strong contributions, fixing the memory pathway could unlock further gains.</w:t>
      </w:r>
    </w:p>
    <w:p>
      <w:pPr>
        <w:pStyle w:val="Heading1"/>
      </w:pPr>
      <w:r>
        <w:t xml:space="preserve">5. Compute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Estimated GPU-hours</w:t>
            </w:r>
          </w:p>
        </w:tc>
        <w:tc>
          <w:tcPr>
            <w:tcW w:type="dxa" w:w="293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Hardware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1B model training (50B tokens)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~2,000 H100-hours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4x H100 / 4x TPU v4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Benchmark evaluation suite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~200 H100-hours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1x H100 / 1x TPU v4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Memory architecture experiments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~500 H100-hours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1x H100 / 1x TPU v4</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Ablation at 1B scale</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~300 H100-hours</w:t>
            </w:r>
          </w:p>
        </w:tc>
        <w:tc>
          <w:tcPr>
            <w:tcW w:type="dxa" w:w="293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1x H100 / 1x TPU v4</w:t>
            </w:r>
          </w:p>
        </w:tc>
      </w:tr>
      <w:tr>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bCs/>
                <w:color w:val="333333"/>
                <w:sz w:val="20"/>
                <w:szCs w:val="20"/>
              </w:rPr>
              <w:t xml:space="preserve">Total</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center"/>
            </w:pPr>
            <w:r>
              <w:rPr>
                <w:rFonts w:ascii="Arial" w:cs="Arial" w:eastAsia="Arial" w:hAnsi="Arial"/>
                <w:b/>
                <w:bCs/>
                <w:color w:val="333333"/>
                <w:sz w:val="20"/>
                <w:szCs w:val="20"/>
              </w:rPr>
              <w:t xml:space="preserve">~3,000 H100-hours</w:t>
            </w:r>
          </w:p>
        </w:tc>
        <w:tc>
          <w:tcPr>
            <w:tcW w:type="dxa" w:w="293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w:r>
          </w:p>
        </w:tc>
      </w:tr>
    </w:tbl>
    <w:p>
      <w:pPr>
        <w:spacing w:after="200"/>
      </w:pPr>
    </w:p>
    <w:p>
      <w:pPr>
        <w:pStyle w:val="Heading1"/>
      </w:pPr>
      <w:r>
        <w:t xml:space="preserve">6. Open Science Commitment</w:t>
      </w:r>
    </w:p>
    <w:p>
      <w:pPr>
        <w:pStyle w:val="ListParagraph"/>
        <w:numPr>
          <w:ilvl w:val="0"/>
          <w:numId w:val="2"/>
        </w:numPr>
        <w:spacing w:after="80"/>
      </w:pPr>
      <w:r>
        <w:rPr>
          <w:sz w:val="22"/>
          <w:szCs w:val="22"/>
        </w:rPr>
        <w:t xml:space="preserve">All code is open source under Apache 2.0: </w:t>
      </w:r>
      <w:r>
        <w:rPr>
          <w:b/>
          <w:bCs/>
          <w:sz w:val="22"/>
          <w:szCs w:val="22"/>
        </w:rPr>
        <w:t xml:space="preserve">github.com/TheArtOfSound/lolm</w:t>
      </w:r>
    </w:p>
    <w:p>
      <w:pPr>
        <w:pStyle w:val="ListParagraph"/>
        <w:numPr>
          <w:ilvl w:val="0"/>
          <w:numId w:val="2"/>
        </w:numPr>
        <w:spacing w:after="80"/>
      </w:pPr>
      <w:r>
        <w:rPr>
          <w:sz w:val="22"/>
          <w:szCs w:val="22"/>
        </w:rPr>
        <w:t xml:space="preserve">Model weights, training logs, and evaluation scripts will be publicly released</w:t>
      </w:r>
    </w:p>
    <w:p>
      <w:pPr>
        <w:pStyle w:val="ListParagraph"/>
        <w:numPr>
          <w:ilvl w:val="0"/>
          <w:numId w:val="2"/>
        </w:numPr>
        <w:spacing w:after="80"/>
      </w:pPr>
      <w:r>
        <w:rPr>
          <w:sz w:val="22"/>
          <w:szCs w:val="22"/>
        </w:rPr>
        <w:t xml:space="preserve">Research findings will be submitted to peer-reviewed venues (NeurIPS, ICML, or ICLR workshops)</w:t>
      </w:r>
    </w:p>
    <w:p>
      <w:pPr>
        <w:pStyle w:val="ListParagraph"/>
        <w:numPr>
          <w:ilvl w:val="0"/>
          <w:numId w:val="2"/>
        </w:numPr>
        <w:spacing w:after="80"/>
      </w:pPr>
      <w:r>
        <w:rPr>
          <w:sz w:val="22"/>
          <w:szCs w:val="22"/>
        </w:rPr>
        <w:t xml:space="preserve">Detailed blog posts documenting training dynamics, failure modes, and architectural decisions</w:t>
      </w:r>
    </w:p>
    <w:p>
      <w:pPr>
        <w:pStyle w:val="ListParagraph"/>
        <w:numPr>
          <w:ilvl w:val="0"/>
          <w:numId w:val="2"/>
        </w:numPr>
        <w:spacing w:after="200"/>
      </w:pPr>
      <w:r>
        <w:rPr>
          <w:sz w:val="22"/>
          <w:szCs w:val="22"/>
        </w:rPr>
        <w:t xml:space="preserve">Research conducted in accordance with responsible AI principles</w:t>
      </w:r>
    </w:p>
    <w:p>
      <w:pPr>
        <w:pStyle w:val="Heading1"/>
      </w:pPr>
      <w:r>
        <w:t xml:space="preserve">7. About the Researchers</w:t>
      </w:r>
    </w:p>
    <w:p>
      <w:pPr>
        <w:spacing w:after="200"/>
      </w:pPr>
      <w:r>
        <w:rPr>
          <w:sz w:val="22"/>
          <w:szCs w:val="22"/>
        </w:rPr>
        <w:t xml:space="preserve">Bryan Leonard and Brandyn Leonard are independent AI researchers focused on novel language model architectures. LOLM was conceived, designed, implemented, and trained as a collaborative research effort, demonstrating the viability of architectural innovation outside large institutional settings. The project draws on theoretical insights from statistical physics (Multi-Scale Phase Selection Theory) and representation learning (VQ-VAE, SimCLR) to propose a fundamentally different approach to language modeling. All development has been self-funded through commercial GPU rental services.</w:t>
      </w:r>
    </w:p>
    <w:p>
      <w:pPr>
        <w:pStyle w:val="Heading1"/>
      </w:pPr>
      <w:r>
        <w:t xml:space="preserve">8. References &amp; Links</w:t>
      </w:r>
    </w:p>
    <w:p>
      <w:pPr>
        <w:pStyle w:val="ListParagraph"/>
        <w:numPr>
          <w:ilvl w:val="0"/>
          <w:numId w:val="2"/>
        </w:numPr>
        <w:spacing w:after="80"/>
      </w:pPr>
      <w:r>
        <w:rPr>
          <w:sz w:val="22"/>
          <w:szCs w:val="22"/>
        </w:rPr>
        <w:t xml:space="preserve">GitHub: github.com/TheArtOfSound/lolm</w:t>
      </w:r>
    </w:p>
    <w:p>
      <w:pPr>
        <w:pStyle w:val="ListParagraph"/>
        <w:numPr>
          <w:ilvl w:val="0"/>
          <w:numId w:val="2"/>
        </w:numPr>
        <w:spacing w:after="80"/>
      </w:pPr>
      <w:r>
        <w:rPr>
          <w:sz w:val="22"/>
          <w:szCs w:val="22"/>
        </w:rPr>
        <w:t xml:space="preserve">Architecture: Transformer + Selective SSM + Regime Detection + Persistent Memory + Manifestation Gate</w:t>
      </w:r>
    </w:p>
    <w:p>
      <w:pPr>
        <w:pStyle w:val="ListParagraph"/>
        <w:numPr>
          <w:ilvl w:val="0"/>
          <w:numId w:val="2"/>
        </w:numPr>
        <w:spacing w:after="80"/>
      </w:pPr>
      <w:r>
        <w:rPr>
          <w:sz w:val="22"/>
          <w:szCs w:val="22"/>
        </w:rPr>
        <w:t xml:space="preserve">Training data: FineWeb-Edu (HuggingFace), evaluated on WikiText-103</w:t>
      </w:r>
    </w:p>
    <w:p>
      <w:pPr>
        <w:pStyle w:val="ListParagraph"/>
        <w:numPr>
          <w:ilvl w:val="0"/>
          <w:numId w:val="2"/>
        </w:numPr>
        <w:spacing w:after="80"/>
      </w:pPr>
      <w:r>
        <w:rPr>
          <w:sz w:val="22"/>
          <w:szCs w:val="22"/>
        </w:rPr>
        <w:t xml:space="preserve">License: Apache 2.0 (open source + commercial compatible)</w:t>
      </w:r>
    </w:p>
    <w:p>
      <w:pPr>
        <w:pStyle w:val="ListParagraph"/>
        <w:numPr>
          <w:ilvl w:val="0"/>
          <w:numId w:val="2"/>
        </w:numPr>
        <w:spacing w:after="80"/>
      </w:pPr>
      <w:r>
        <w:rPr>
          <w:sz w:val="22"/>
          <w:szCs w:val="22"/>
        </w:rPr>
        <w:t xml:space="preserve">Baseline comparison: Pythia-410M (EleutherAI)</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888888"/>
        <w:sz w:val="16"/>
        <w:szCs w:val="16"/>
      </w:rPr>
      <w:t xml:space="preserve">Bryan Leonard &amp; Brandyn Leonard  |  github.com/TheArtOfSound/lolm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1F4E79"/>
        <w:sz w:val="18"/>
        <w:szCs w:val="18"/>
      </w:rPr>
      <w:t xml:space="preserve">LOLM: Latent Order Language Model</w:t>
    </w:r>
    <w:r>
      <w:rPr>
        <w:rFonts w:ascii="Arial" w:cs="Arial" w:eastAsia="Arial" w:hAnsi="Arial"/>
        <w:color w:val="888888"/>
        <w:sz w:val="18"/>
        <w:szCs w:val="18"/>
      </w:rPr>
      <w:t xml:space="preserve">  |  Compute Grant Research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2026-03-08T21:22:30.408Z</dcterms:created>
  <dcterms:modified xsi:type="dcterms:W3CDTF">2026-03-08T21:22:30.412Z</dcterms:modified>
</cp:coreProperties>
</file>

<file path=docProps/custom.xml><?xml version="1.0" encoding="utf-8"?>
<Properties xmlns="http://schemas.openxmlformats.org/officeDocument/2006/custom-properties" xmlns:vt="http://schemas.openxmlformats.org/officeDocument/2006/docPropsVTypes"/>
</file>