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7.8274760383387"/>
        <w:gridCol w:w="7017.507987220447"/>
        <w:gridCol w:w="1664.6645367412139"/>
        <w:tblGridChange w:id="0">
          <w:tblGrid>
            <w:gridCol w:w="677.8274760383387"/>
            <w:gridCol w:w="7017.507987220447"/>
            <w:gridCol w:w="1664.6645367412139"/>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Source (policy, law, standard)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BR-01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The system shall support VND only. Expense amounts and allocated shares shall be represented in the whole VND.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PA1 2.1, 2.4</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BR-02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The system shall record expenses and repayment information without holding money, initiating bank transfers, or automatically verifying receipt of payment. Actual transfers shall take place outside the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PA1 2.1. 2.4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BR-03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The creator of a group shall automatically become a member of that group. Reopening an invitation link shall not create duplicate membership for an existing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FR-10, FR-17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BR-04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Only members of a group shall be permitted to access its protected data or record expenses within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FR-16</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BR-05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Each expense shall have a positive whole-VND amount, exactly one payer, and at least one participant sharing the cost. The payer and all participants shall belong to the same group as the expense.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FR-18, FR-19, FR-20</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BR-06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Each expense shall be split evenly among its selected participants </w:t>
            </w:r>
            <w:r w:rsidDel="00000000" w:rsidR="00000000" w:rsidRPr="00000000">
              <w:rPr>
                <w:rtl w:val="0"/>
              </w:rPr>
              <w:t xml:space="preserve">in whole</w:t>
            </w:r>
            <w:r w:rsidDel="00000000" w:rsidR="00000000" w:rsidRPr="00000000">
              <w:rPr>
                <w:rtl w:val="0"/>
              </w:rPr>
              <w:t xml:space="preserve"> VND. Any remainder shall be distributed according to a fixed participant ordering, and the allocated shares shall sum exactly to the expense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FR-21, FR-22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Each participant other than the payer shall have an individual repayment obligation to the payer for their allocated share. No self-repayment obligation shall be created.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FR-23, FR-24</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Only the member who created an expense shall be permitted to edit or delete it, and only before any related repayment report has been submitted. Submission of any related report shall permanently prevent editing or deletion, even if that report is later rejected.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FR-26, FR-27</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Debt totals shall be calculated from individual repayment obligations. Obligations in opposite directions shall not be automatically offset against each other.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FR-29, FR-30</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Only the debtor of an outstanding obligation shall be permitted to report its repayment. Each report shall cover the full obligation amount; partial repayment reports shall not be accepted in the first release.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FR-31, FR-36</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BR-11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Reporting repayment shall change the obligation status from Outstanding to Pending Confirmation. A pending report shall not count as a settled obligation.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FR-32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BR-12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Only the creditor of the obligation shall be permitted to confirm or reject a repayment report. Confirmation shall change the obligation status to Confirmed; rejection shall return it to Outstanding.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FR-33, FR-34, FR-35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BR-13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An obligation shall have no more than one pending repayment report at a time. A Confirmed obligation shall not be settled again.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FR-37, FR-38</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BR-14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Displayed debt totals shall reflect repayment decisions. Confirmed obligations shall be excluded from outstanding debt totals; rejected obligations shall remain outstanding.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FR-39</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BR-15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Saving bank details shall be optional. Saved bank details shall consist of the bank name, account number, and account holder name, stored as text. Users shall be permitted to view and edit their own saved bank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PA1 2.4; FR-05</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BR-16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VietQR payment instructions shall use the recipient’s saved bank details and the repayment amount. Generating or displaying these instructions shall not itself constitute a repayment report or confirmation and shall not settle the obligation.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FR-48, FR-49; PA1 2.4</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BR-17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Expense history shall display recorded group expenses in chronological order. Repayment activity shall display repayment reports and their confirmation or rejection events in chronological order, preserving the distinction between reporting a payment and confirming its receipt.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FR-50-51; PA1 2.4</w:t>
            </w:r>
          </w:p>
        </w:tc>
      </w:tr>
    </w:tbl>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