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360" w:lineRule="auto"/>
        <w:ind w:left="0" w:firstLine="0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1.1. Use case UC-01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0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 VietQR payment instruction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 debtor requests payment instructions for a repayment. The system generates and displays a VietQR using the recipient’s saved bank details and the repayment amount.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Group member (debtor)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VietQR-generation service (1)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FR-36, FR-37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requests VietQR payment instructions for a selected outstanding obligation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is signed in, belongs to the relevant group and is the debtor of the selected obligation</w:t>
              <w:br w:type="textWrapping"/>
              <w:t xml:space="preserve">A repayment recipient and amount have been identified.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Success:</w:t>
              <w:br w:type="textWrapping"/>
              <w:t xml:space="preserve">The VietQR payment instructions are displayed.</w:t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Debt balances and repayment status remain unchanged.</w:t>
              <w:br w:type="textWrapping"/>
              <w:t xml:space="preserve">Failure:</w:t>
              <w:br w:type="textWrapping"/>
              <w:t xml:space="preserve">No VietQR instruction is displayed.</w:t>
              <w:br w:type="textWrapping"/>
              <w:t xml:space="preserve">Debt balances and repayment status remain unchanged.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requests payment instructions for the selected repayment.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retrieves the recipient’s saved bank details and the repayment amount.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validates the required bank details and repayment amount.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generates the VietQR payment instruction.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displays the QR together with the recipient’s bank details and repayment amount.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views the instructions for use in an external banking application.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4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closes the payment instructions.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E1 - Missing/Unusable bank details (step 3): The system explains that VietQR instructions cannot be generated until the recipient supplies suitable bank details.</w:t>
              <w:br w:type="textWrapping"/>
              <w:t xml:space="preserve">E2 - Invalid repayment amount (step 3): The system displays an error explaining validation failure.</w:t>
              <w:br w:type="textWrapping"/>
              <w:t xml:space="preserve">E3 - Generation/Retrieval failure (step 2, 4, 5): The system displays an error and asks the debtor to retry.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repayment amount is expressed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in whole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 VND.</w:t>
              <w:br w:type="textWrapping"/>
              <w:t xml:space="preserve">Generating/displaying the QR does not initiate a transfer Generating/displaying the QR does not report or confirm a repayment.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Non-functional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NFR-12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oyrbwi7robh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5rmc044lw8z5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1.2. Use case UC-02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 group expense history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 group member views the group’s recorded expenses in chronological order.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Group member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FR-38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expense history of a group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is signed in and belongs to the selected group.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Success:</w:t>
              <w:br w:type="textWrapping"/>
              <w:t xml:space="preserve">The group’s expense history or an empty state message is displayed.</w:t>
              <w:br w:type="textWrapping"/>
              <w:t xml:space="preserve">Records remain unchanged.</w:t>
              <w:br w:type="textWrapping"/>
              <w:t xml:space="preserve">Failure:</w:t>
              <w:br w:type="textWrapping"/>
              <w:t xml:space="preserve">The group’s expense history is not displayed.</w:t>
              <w:br w:type="textWrapping"/>
              <w:t xml:space="preserve">Records remain unchanged.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selected group’s expense history.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checks the member’s access to the group.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retrieves the group’s recorded expenses.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orders the expenses using the specified ordering direction. (2)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displays the expenses.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A1 - No expenses history (step 3): The system displays a message indicating that the group has no recorded expenses.</w:t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A2 - View expense details (step 5): The member selects an expense. The system displays its details according to the View Expense Details use case.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E1 - Access unavailable (step 2): The system denies access without displaying the history.</w:t>
            </w:r>
          </w:p>
          <w:p w:rsidR="00000000" w:rsidDel="00000000" w:rsidP="00000000" w:rsidRDefault="00000000" w:rsidRPr="00000000" w14:paraId="00000048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E2 - Retrieval failure (step 3): The system displays an error and asks the group member to retry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Only expenses belonging to the selected group are displayed.</w:t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Viewing history does not modify expenses, shares, or balances.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Non-functional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NFR-02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l11487lom09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0" w:before="0" w:line="36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bookmarkStart w:colFirst="0" w:colLast="0" w:name="_h3ffpmruyi2p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1.3. Use case UC-03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 repayment activity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 group member views repayment reports and confirmation/rejection activity in chronological order.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Group member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FR-39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expense history of a group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debtor is signed in and belongs to the selected group.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Success:</w:t>
              <w:br w:type="textWrapping"/>
              <w:t xml:space="preserve">Repayment activity or an empty-state message is displayed. Records remain unchanged.</w:t>
              <w:br w:type="textWrapping"/>
              <w:t xml:space="preserve">Failure:</w:t>
              <w:br w:type="textWrapping"/>
              <w:t xml:space="preserve">Activity is not displayed.</w:t>
              <w:br w:type="textWrapping"/>
              <w:t xml:space="preserve">Records remain unchanged.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member requests the selected group’s repayment activity.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checks the member’s access to the group.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retrieves the repayment-report, confirmation, and rejection events visible to the member.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orders the events by their recorded timestamps.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after="40" w:lineRule="auto"/>
              <w:ind w:left="720" w:hanging="360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The system displays each event with its type, time, and relevant repayment information.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A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A1 - No activity (step 3): The system displays a message indicating that the group has no recorded repayment activity.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E1 - Access unavailable (step 2): The system denies access without displaying the activity.</w:t>
            </w:r>
          </w:p>
          <w:p w:rsidR="00000000" w:rsidDel="00000000" w:rsidP="00000000" w:rsidRDefault="00000000" w:rsidRPr="00000000" w14:paraId="0000006E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E2 - Retrieval failure (step 3): The system displays an error and asks the group member to retry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Only expenses belonging to the selected group are displayed.</w:t>
            </w:r>
          </w:p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Viewing history does not modify repayment status.</w:t>
              <w:br w:type="textWrapping"/>
              <w:t xml:space="preserve">Confirmation and rejection actions belong to the settlement use cases.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sz w:val="20"/>
                <w:szCs w:val="20"/>
                <w:rtl w:val="0"/>
              </w:rPr>
              <w:t xml:space="preserve">Non-functional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NFR-02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Assuming an external service is used to generate VietQR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Need clarification on ordering: newest first, oldest first, and/or within a selected timestamp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