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6 ➗ 3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2 ◯ 3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