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My style is the protagonist. That means I have a very extroverted personality and I like to interact with people. The relationship I have with people can be personal at times but the more you are connected with someone the better you work together.</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People can approach me anytime. Usually I am good after my morning shower. But if someone wants full undivided attention they just need to come up to me and ask when they can talk to me, and i will say right now is good or come back at this time. </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I value the people I love the most in my life. My family and my friends. I always love to talk to people and hang out. I love to see how people in my life react to each other and how I react to everyone different.</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I am a very straightforward person. So I would rather people just say what they want of me. My best advice is that if I don't know you want to talk to me then let me know.</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 make important decisions by thinking through them for hours before I have to make the decision. Sometimes I think through them a little too much and that's all I can think about throughout the day until I have come to a decision. I  will think and think and sometimes that means I don’t get my work done that I need to get done.</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Just ask if I need help and I will tell you. For me I’m very straightforward if I need help that means I need help. If I say I don’t then I don’t. But we all can be stubborn so if it looks like I need help then just help me.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I do not tolerate people that think they know everything. People that think they know everything just by looking for one second at the project or any question and are cocky about it makes me so upset.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Personal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