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7BE23" w14:textId="77777777" w:rsidR="006C1D94" w:rsidRDefault="006C1D94">
      <w:pPr>
        <w:pStyle w:val="Sinespaciado"/>
        <w:rPr>
          <w:rFonts w:eastAsiaTheme="minorHAnsi"/>
          <w:lang w:eastAsia="en-US"/>
        </w:rPr>
      </w:pPr>
    </w:p>
    <w:p w14:paraId="04A5FBCB" w14:textId="77777777" w:rsidR="000A278C" w:rsidRDefault="000A278C">
      <w:pPr>
        <w:pStyle w:val="Sinespaciado"/>
        <w:rPr>
          <w:rFonts w:eastAsiaTheme="minorHAnsi"/>
          <w:lang w:eastAsia="en-US"/>
        </w:rPr>
      </w:pPr>
    </w:p>
    <w:p w14:paraId="6EB93B43" w14:textId="77777777" w:rsidR="006C1D94" w:rsidRDefault="006C1D94">
      <w:pPr>
        <w:pStyle w:val="Sinespaciado"/>
        <w:rPr>
          <w:rFonts w:eastAsiaTheme="minorHAnsi"/>
          <w:lang w:eastAsia="en-US"/>
        </w:rPr>
      </w:pPr>
    </w:p>
    <w:sdt>
      <w:sdtPr>
        <w:rPr>
          <w:rFonts w:ascii="Cambria" w:eastAsiaTheme="minorHAnsi" w:hAnsi="Cambria"/>
          <w:color w:val="354760"/>
          <w:sz w:val="20"/>
          <w:lang w:eastAsia="en-US"/>
        </w:rPr>
        <w:id w:val="131376577"/>
        <w:docPartObj>
          <w:docPartGallery w:val="Cover Pages"/>
          <w:docPartUnique/>
        </w:docPartObj>
      </w:sdtPr>
      <w:sdtContent>
        <w:p w14:paraId="53237319" w14:textId="77777777" w:rsidR="004C5B25" w:rsidRDefault="004C5B25">
          <w:pPr>
            <w:pStyle w:val="Sinespaciado"/>
          </w:pPr>
          <w:r>
            <w:rPr>
              <w:noProof/>
            </w:rPr>
            <mc:AlternateContent>
              <mc:Choice Requires="wpg">
                <w:drawing>
                  <wp:anchor distT="0" distB="0" distL="114300" distR="114300" simplePos="0" relativeHeight="251659264" behindDoc="1" locked="0" layoutInCell="1" allowOverlap="1" wp14:anchorId="3A250ECB" wp14:editId="3AB5541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7449542"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Gy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DD5sBhskAAAoAQEA&#10;DgAAAAAAAAAAAAAAAAAuAgAAZHJzL2Uyb0RvYy54bWxQSwECLQAUAAYACAAAACEAXWZITNwAAAAG&#10;AQAADwAAAAAAAAAAAAAAAAB1JgAAZHJzL2Rvd25yZXYueG1sUEsFBgAAAAAEAAQA8wAAAH4nAAAA&#10;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203665E" w14:textId="77777777" w:rsidR="004C5B25" w:rsidRDefault="004C5B2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5967E818" wp14:editId="023FD696">
                    <wp:simplePos x="0" y="0"/>
                    <wp:positionH relativeFrom="page">
                      <wp:posOffset>3677920</wp:posOffset>
                    </wp:positionH>
                    <wp:positionV relativeFrom="page">
                      <wp:posOffset>8105887</wp:posOffset>
                    </wp:positionV>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A8F11A" w14:textId="77777777" w:rsidR="004C5B25" w:rsidRDefault="0000000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MATÍAS ABARCA</w:t>
                                </w:r>
                              </w:p>
                              <w:p w14:paraId="74364550"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967E818" id="_x0000_t202" coordsize="21600,21600" o:spt="202" path="m,l,21600r21600,l21600,xe">
                    <v:stroke joinstyle="miter"/>
                    <v:path gradientshapeok="t" o:connecttype="rect"/>
                  </v:shapetype>
                  <v:shape id="Cuadro de texto 32" o:spid="_x0000_s1026" type="#_x0000_t202" style="position:absolute;margin-left:289.6pt;margin-top:638.2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" filled="f" stroked="f" strokeweight=".5pt">
                    <v:textbox style="mso-fit-shape-to-text:t" inset="0,0,0,0">
                      <w:txbxContent>
                        <w:p w14:paraId="28A8F11A" w14:textId="77777777" w:rsidR="004C5B25" w:rsidRDefault="0000000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MATÍAS ABARCA</w:t>
                          </w:r>
                        </w:p>
                        <w:p w14:paraId="74364550"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617E140" wp14:editId="3D294D43">
                    <wp:simplePos x="0" y="0"/>
                    <wp:positionH relativeFrom="page">
                      <wp:posOffset>1524000</wp:posOffset>
                    </wp:positionH>
                    <wp:positionV relativeFrom="page">
                      <wp:posOffset>2105025</wp:posOffset>
                    </wp:positionV>
                    <wp:extent cx="5334000" cy="2047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5334000" cy="204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AADF6E" w14:textId="77777777" w:rsidR="004C5B25" w:rsidRPr="00874FB7" w:rsidRDefault="0000000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204A7E0B" w14:textId="77777777" w:rsidR="004C5B25" w:rsidRPr="00874FB7" w:rsidRDefault="0000000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4FB7" w:rsidRPr="00874FB7">
                                      <w:rPr>
                                        <w:color w:val="2F5496" w:themeColor="accent1" w:themeShade="BF"/>
                                        <w:sz w:val="44"/>
                                        <w:szCs w:val="44"/>
                                      </w:rPr>
                                      <w:t>Plataforma de Registro Operativo y Trazabilidad para Soporte en Terreno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17E140" id="Cuadro de texto 1" o:spid="_x0000_s1027" type="#_x0000_t202" style="position:absolute;margin-left:120pt;margin-top:165.75pt;width:420pt;height:1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" filled="f" stroked="f" strokeweight=".5pt">
                    <v:textbox inset="0,0,0,0">
                      <w:txbxContent>
                        <w:p w14:paraId="72AADF6E" w14:textId="77777777" w:rsidR="004C5B25" w:rsidRPr="00874FB7" w:rsidRDefault="0000000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204A7E0B" w14:textId="77777777" w:rsidR="004C5B25" w:rsidRPr="00874FB7" w:rsidRDefault="0000000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4FB7" w:rsidRPr="00874FB7">
                                <w:rPr>
                                  <w:color w:val="2F5496" w:themeColor="accent1" w:themeShade="BF"/>
                                  <w:sz w:val="44"/>
                                  <w:szCs w:val="44"/>
                                </w:rPr>
                                <w:t>Plataforma de Registro Operativo y Trazabilidad para Soporte en Terreno</w:t>
                              </w:r>
                            </w:sdtContent>
                          </w:sdt>
                        </w:p>
                      </w:txbxContent>
                    </v:textbox>
                    <w10:wrap anchorx="page" anchory="page"/>
                  </v:shape>
                </w:pict>
              </mc:Fallback>
            </mc:AlternateContent>
          </w:r>
          <w:r>
            <w:br w:type="page"/>
          </w:r>
        </w:p>
      </w:sdtContent>
    </w:sdt>
    <w:p w14:paraId="277AE749" w14:textId="77777777" w:rsidR="00632C64" w:rsidRDefault="00632C64" w:rsidP="00632C64">
      <w:pPr>
        <w:pStyle w:val="Ttulo1"/>
        <w:ind w:left="468"/>
        <w:rPr>
          <w:szCs w:val="24"/>
        </w:rPr>
      </w:pPr>
    </w:p>
    <w:sdt>
      <w:sdtPr>
        <w:rPr>
          <w:lang w:val="es-ES"/>
        </w:rPr>
        <w:id w:val="-1981143765"/>
        <w:docPartObj>
          <w:docPartGallery w:val="Table of Contents"/>
          <w:docPartUnique/>
        </w:docPartObj>
      </w:sdtPr>
      <w:sdtEndPr>
        <w:rPr>
          <w:rFonts w:asciiTheme="minorHAnsi" w:hAnsiTheme="minorHAnsi"/>
          <w:b/>
          <w:bCs/>
          <w:color w:val="auto"/>
          <w:sz w:val="22"/>
        </w:rPr>
      </w:sdtEndPr>
      <w:sdtContent>
        <w:p w14:paraId="3107ABC5" w14:textId="77777777" w:rsidR="005C404C" w:rsidRPr="00CA5C5C" w:rsidRDefault="00000000">
          <w:pPr>
            <w:rPr>
              <w:rFonts w:asciiTheme="majorHAnsi" w:hAnsiTheme="majorHAnsi" w:cstheme="majorHAnsi"/>
              <w:b/>
              <w:szCs w:val="20"/>
            </w:rPr>
          </w:pPr>
          <w:r w:rsidRPr="00CA5C5C">
            <w:rPr>
              <w:rFonts w:asciiTheme="majorHAnsi" w:hAnsiTheme="majorHAnsi" w:cstheme="majorHAnsi"/>
              <w:b/>
              <w:color w:val="315681"/>
              <w:szCs w:val="20"/>
            </w:rPr>
            <w:t>Contenido</w:t>
          </w:r>
        </w:p>
        <w:p w14:paraId="0E556CA7" w14:textId="77777777" w:rsidR="005C404C" w:rsidRPr="00CA5C5C" w:rsidRDefault="00000000">
          <w:pPr>
            <w:tabs>
              <w:tab w:val="right" w:leader="dot" w:pos="8957"/>
            </w:tabs>
            <w:spacing w:after="60"/>
            <w:rPr>
              <w:rFonts w:asciiTheme="majorHAnsi" w:hAnsiTheme="majorHAnsi" w:cstheme="majorHAnsi"/>
              <w:b/>
              <w:szCs w:val="20"/>
            </w:rPr>
          </w:pPr>
          <w:r w:rsidRPr="00CA5C5C">
            <w:rPr>
              <w:rFonts w:asciiTheme="majorHAnsi" w:hAnsiTheme="majorHAnsi" w:cstheme="majorHAnsi"/>
              <w:b/>
              <w:szCs w:val="20"/>
            </w:rPr>
            <w:t>1. ARQUITECTURA CLIENTE-SERVIDOR / MONOLITO MODULAR CON FASTAPI</w:t>
          </w:r>
          <w:r w:rsidRPr="00CA5C5C">
            <w:rPr>
              <w:rFonts w:asciiTheme="majorHAnsi" w:hAnsiTheme="majorHAnsi" w:cstheme="majorHAnsi"/>
              <w:b/>
              <w:szCs w:val="20"/>
            </w:rPr>
            <w:tab/>
            <w:t>3</w:t>
          </w:r>
        </w:p>
        <w:p w14:paraId="7E35EC1A"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1.1 Estilo arquitectónico general</w:t>
          </w:r>
          <w:r w:rsidRPr="00CA5C5C">
            <w:rPr>
              <w:rFonts w:asciiTheme="majorHAnsi" w:hAnsiTheme="majorHAnsi" w:cstheme="majorHAnsi"/>
              <w:b/>
              <w:szCs w:val="20"/>
            </w:rPr>
            <w:tab/>
            <w:t>3</w:t>
          </w:r>
        </w:p>
        <w:p w14:paraId="75AF8C71"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1.2 Organización del backend como monolito modular</w:t>
          </w:r>
          <w:r w:rsidRPr="00CA5C5C">
            <w:rPr>
              <w:rFonts w:asciiTheme="majorHAnsi" w:hAnsiTheme="majorHAnsi" w:cstheme="majorHAnsi"/>
              <w:b/>
              <w:szCs w:val="20"/>
            </w:rPr>
            <w:tab/>
            <w:t>3</w:t>
          </w:r>
        </w:p>
        <w:p w14:paraId="6AABB393" w14:textId="77777777" w:rsidR="005C404C" w:rsidRPr="00CA5C5C" w:rsidRDefault="00000000">
          <w:pPr>
            <w:tabs>
              <w:tab w:val="right" w:leader="dot" w:pos="8957"/>
            </w:tabs>
            <w:spacing w:after="60"/>
            <w:rPr>
              <w:rFonts w:asciiTheme="majorHAnsi" w:hAnsiTheme="majorHAnsi" w:cstheme="majorHAnsi"/>
              <w:b/>
              <w:szCs w:val="20"/>
            </w:rPr>
          </w:pPr>
          <w:r w:rsidRPr="00CA5C5C">
            <w:rPr>
              <w:rFonts w:asciiTheme="majorHAnsi" w:hAnsiTheme="majorHAnsi" w:cstheme="majorHAnsi"/>
              <w:b/>
              <w:szCs w:val="20"/>
            </w:rPr>
            <w:t>2. INTEGRACIÓN ENTRE REACT, APP TÉCNICA Y BACKEND</w:t>
          </w:r>
          <w:r w:rsidRPr="00CA5C5C">
            <w:rPr>
              <w:rFonts w:asciiTheme="majorHAnsi" w:hAnsiTheme="majorHAnsi" w:cstheme="majorHAnsi"/>
              <w:b/>
              <w:szCs w:val="20"/>
            </w:rPr>
            <w:tab/>
            <w:t>4</w:t>
          </w:r>
        </w:p>
        <w:p w14:paraId="5814F73A"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2.1 Presentación unificada y consumo de API</w:t>
          </w:r>
          <w:r w:rsidRPr="00CA5C5C">
            <w:rPr>
              <w:rFonts w:asciiTheme="majorHAnsi" w:hAnsiTheme="majorHAnsi" w:cstheme="majorHAnsi"/>
              <w:b/>
              <w:szCs w:val="20"/>
            </w:rPr>
            <w:tab/>
            <w:t>4</w:t>
          </w:r>
        </w:p>
        <w:p w14:paraId="375D4A55"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2.2 Funcionamiento y sincronización offline (PWA)</w:t>
          </w:r>
          <w:r w:rsidRPr="00CA5C5C">
            <w:rPr>
              <w:rFonts w:asciiTheme="majorHAnsi" w:hAnsiTheme="majorHAnsi" w:cstheme="majorHAnsi"/>
              <w:b/>
              <w:szCs w:val="20"/>
            </w:rPr>
            <w:tab/>
            <w:t>4</w:t>
          </w:r>
        </w:p>
        <w:p w14:paraId="10F965B0" w14:textId="77777777" w:rsidR="005C404C" w:rsidRPr="00CA5C5C" w:rsidRDefault="00000000">
          <w:pPr>
            <w:tabs>
              <w:tab w:val="right" w:leader="dot" w:pos="8957"/>
            </w:tabs>
            <w:spacing w:after="60"/>
            <w:rPr>
              <w:rFonts w:asciiTheme="majorHAnsi" w:hAnsiTheme="majorHAnsi" w:cstheme="majorHAnsi"/>
              <w:b/>
              <w:szCs w:val="20"/>
            </w:rPr>
          </w:pPr>
          <w:r w:rsidRPr="00CA5C5C">
            <w:rPr>
              <w:rFonts w:asciiTheme="majorHAnsi" w:hAnsiTheme="majorHAnsi" w:cstheme="majorHAnsi"/>
              <w:b/>
              <w:szCs w:val="20"/>
            </w:rPr>
            <w:t>3. CATÁLOGO DE SERVICIOS Y API REST</w:t>
          </w:r>
          <w:r w:rsidRPr="00CA5C5C">
            <w:rPr>
              <w:rFonts w:asciiTheme="majorHAnsi" w:hAnsiTheme="majorHAnsi" w:cstheme="majorHAnsi"/>
              <w:b/>
              <w:szCs w:val="20"/>
            </w:rPr>
            <w:tab/>
            <w:t>5</w:t>
          </w:r>
        </w:p>
        <w:p w14:paraId="4ABEDD5D"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3.1 Comunicación y diseño de API</w:t>
          </w:r>
          <w:r w:rsidRPr="00CA5C5C">
            <w:rPr>
              <w:rFonts w:asciiTheme="majorHAnsi" w:hAnsiTheme="majorHAnsi" w:cstheme="majorHAnsi"/>
              <w:b/>
              <w:szCs w:val="20"/>
            </w:rPr>
            <w:tab/>
            <w:t>5</w:t>
          </w:r>
        </w:p>
        <w:p w14:paraId="173F1D1E"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3.2 Catálogo principal de endpoints</w:t>
          </w:r>
          <w:r w:rsidRPr="00CA5C5C">
            <w:rPr>
              <w:rFonts w:asciiTheme="majorHAnsi" w:hAnsiTheme="majorHAnsi" w:cstheme="majorHAnsi"/>
              <w:b/>
              <w:szCs w:val="20"/>
            </w:rPr>
            <w:tab/>
            <w:t>5</w:t>
          </w:r>
        </w:p>
        <w:p w14:paraId="6B4CC3B0"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3.3 Eventos, disparadores y webhooks</w:t>
          </w:r>
          <w:r w:rsidRPr="00CA5C5C">
            <w:rPr>
              <w:rFonts w:asciiTheme="majorHAnsi" w:hAnsiTheme="majorHAnsi" w:cstheme="majorHAnsi"/>
              <w:b/>
              <w:szCs w:val="20"/>
            </w:rPr>
            <w:tab/>
            <w:t>6</w:t>
          </w:r>
        </w:p>
        <w:p w14:paraId="7AFC3530" w14:textId="77777777" w:rsidR="005C404C" w:rsidRPr="00CA5C5C" w:rsidRDefault="00000000">
          <w:pPr>
            <w:tabs>
              <w:tab w:val="right" w:leader="dot" w:pos="8957"/>
            </w:tabs>
            <w:spacing w:after="60"/>
            <w:rPr>
              <w:rFonts w:asciiTheme="majorHAnsi" w:hAnsiTheme="majorHAnsi" w:cstheme="majorHAnsi"/>
              <w:b/>
              <w:szCs w:val="20"/>
            </w:rPr>
          </w:pPr>
          <w:r w:rsidRPr="00CA5C5C">
            <w:rPr>
              <w:rFonts w:asciiTheme="majorHAnsi" w:hAnsiTheme="majorHAnsi" w:cstheme="majorHAnsi"/>
              <w:b/>
              <w:szCs w:val="20"/>
            </w:rPr>
            <w:t>4. DECISIONES ARQUITECTÓNICAS Y RESTRICCIONES</w:t>
          </w:r>
          <w:r w:rsidRPr="00CA5C5C">
            <w:rPr>
              <w:rFonts w:asciiTheme="majorHAnsi" w:hAnsiTheme="majorHAnsi" w:cstheme="majorHAnsi"/>
              <w:b/>
              <w:szCs w:val="20"/>
            </w:rPr>
            <w:tab/>
            <w:t>7</w:t>
          </w:r>
        </w:p>
        <w:p w14:paraId="38917530"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4.1 Justificación de las tecnologías</w:t>
          </w:r>
          <w:r w:rsidRPr="00CA5C5C">
            <w:rPr>
              <w:rFonts w:asciiTheme="majorHAnsi" w:hAnsiTheme="majorHAnsi" w:cstheme="majorHAnsi"/>
              <w:b/>
              <w:szCs w:val="20"/>
            </w:rPr>
            <w:tab/>
            <w:t>7</w:t>
          </w:r>
        </w:p>
        <w:p w14:paraId="3F498AEE" w14:textId="77777777" w:rsidR="005C404C" w:rsidRPr="00CA5C5C" w:rsidRDefault="00000000">
          <w:pPr>
            <w:tabs>
              <w:tab w:val="right" w:leader="dot" w:pos="8957"/>
            </w:tabs>
            <w:spacing w:after="60"/>
            <w:ind w:left="255"/>
            <w:rPr>
              <w:rFonts w:asciiTheme="majorHAnsi" w:hAnsiTheme="majorHAnsi" w:cstheme="majorHAnsi"/>
              <w:b/>
              <w:szCs w:val="20"/>
            </w:rPr>
          </w:pPr>
          <w:r w:rsidRPr="00CA5C5C">
            <w:rPr>
              <w:rFonts w:asciiTheme="majorHAnsi" w:hAnsiTheme="majorHAnsi" w:cstheme="majorHAnsi"/>
              <w:b/>
              <w:szCs w:val="20"/>
            </w:rPr>
            <w:t>4.2 Respuestas a restricciones técnicas</w:t>
          </w:r>
          <w:r w:rsidRPr="00CA5C5C">
            <w:rPr>
              <w:rFonts w:asciiTheme="majorHAnsi" w:hAnsiTheme="majorHAnsi" w:cstheme="majorHAnsi"/>
              <w:b/>
              <w:szCs w:val="20"/>
            </w:rPr>
            <w:tab/>
            <w:t>7</w:t>
          </w:r>
        </w:p>
        <w:p w14:paraId="036393CC" w14:textId="77777777" w:rsidR="005C404C" w:rsidRDefault="00000000">
          <w:pPr>
            <w:tabs>
              <w:tab w:val="right" w:leader="dot" w:pos="8957"/>
            </w:tabs>
            <w:spacing w:after="60"/>
          </w:pPr>
          <w:r w:rsidRPr="00CA5C5C">
            <w:rPr>
              <w:rFonts w:asciiTheme="majorHAnsi" w:hAnsiTheme="majorHAnsi" w:cstheme="majorHAnsi"/>
              <w:b/>
              <w:szCs w:val="20"/>
            </w:rPr>
            <w:t>5. CONCLUSIÓN</w:t>
          </w:r>
          <w:r>
            <w:rPr>
              <w:sz w:val="18"/>
            </w:rPr>
            <w:tab/>
            <w:t>8</w:t>
          </w:r>
        </w:p>
      </w:sdtContent>
    </w:sdt>
    <w:p w14:paraId="1E29A997" w14:textId="77777777" w:rsidR="005C404C" w:rsidRDefault="00000000">
      <w:r>
        <w:br w:type="page"/>
      </w:r>
    </w:p>
    <w:p w14:paraId="3F5BCD56" w14:textId="77777777" w:rsidR="005C404C" w:rsidRPr="00CA5C5C" w:rsidRDefault="00000000">
      <w:pPr>
        <w:pStyle w:val="Ttulo1"/>
        <w:pBdr>
          <w:bottom w:val="single" w:sz="13" w:space="4" w:color="E59438"/>
        </w:pBdr>
        <w:rPr>
          <w:szCs w:val="40"/>
        </w:rPr>
      </w:pPr>
      <w:r w:rsidRPr="00CA5C5C">
        <w:rPr>
          <w:szCs w:val="40"/>
        </w:rPr>
        <w:lastRenderedPageBreak/>
        <w:t>1. ARQUITECTURA CLIENTE-SERVIDOR / MONOLITO MODULAR CON FASTAPI</w:t>
      </w:r>
    </w:p>
    <w:p w14:paraId="3FE14105" w14:textId="77777777" w:rsidR="005C404C" w:rsidRDefault="00000000">
      <w:pPr>
        <w:pStyle w:val="Ttulo2"/>
      </w:pPr>
      <w:r>
        <w:t>1.1 Estilo arquitectónico general</w:t>
      </w:r>
    </w:p>
    <w:p w14:paraId="3F88426B"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 xml:space="preserve">El sistema adopta un patrón arquitectónico </w:t>
      </w:r>
      <w:r w:rsidRPr="00CA5C5C">
        <w:rPr>
          <w:rFonts w:asciiTheme="majorHAnsi" w:hAnsiTheme="majorHAnsi" w:cstheme="majorHAnsi"/>
          <w:b/>
        </w:rPr>
        <w:t>Cliente-Servidor desacoplado</w:t>
      </w:r>
      <w:r w:rsidRPr="00CA5C5C">
        <w:rPr>
          <w:rFonts w:asciiTheme="majorHAnsi" w:hAnsiTheme="majorHAnsi" w:cstheme="majorHAnsi"/>
        </w:rPr>
        <w:t xml:space="preserve"> estructurado bajo el paradigma de </w:t>
      </w:r>
      <w:r w:rsidRPr="00CA5C5C">
        <w:rPr>
          <w:rFonts w:asciiTheme="majorHAnsi" w:hAnsiTheme="majorHAnsi" w:cstheme="majorHAnsi"/>
          <w:b/>
        </w:rPr>
        <w:t>Monolito Modular</w:t>
      </w:r>
      <w:r w:rsidRPr="00CA5C5C">
        <w:rPr>
          <w:rFonts w:asciiTheme="majorHAnsi" w:hAnsiTheme="majorHAnsi" w:cstheme="majorHAnsi"/>
        </w:rPr>
        <w:t xml:space="preserve"> en la capa de servicios backend, complementado con interfaces web y móviles especializadas. </w:t>
      </w:r>
    </w:p>
    <w:p w14:paraId="6968E866"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 xml:space="preserve">Esta decisión arquitectónica responde a la necesidad de centralizar la lógica de negocio, las reglas operativas y la persistencia de datos en un único núcleo transaccional, evitando la complejidad prematura y la sobrecarga de red que implicaría una topología de microservicios distribuidos durante la construcción del MVP. La capa servidora actúa como el único punto de contacto con el motor de base de datos relacional PostgreSQL (Neon), exponiendo una interfaz de comunicación homogénea mediante una API REST desarrollada con el framework FastAPI. </w:t>
      </w:r>
    </w:p>
    <w:p w14:paraId="78A86F9C" w14:textId="77777777" w:rsidR="005C404C" w:rsidRDefault="00000000">
      <w:pPr>
        <w:spacing w:before="140" w:after="40"/>
        <w:jc w:val="center"/>
      </w:pPr>
      <w:r>
        <w:rPr>
          <w:noProof/>
        </w:rPr>
        <w:drawing>
          <wp:inline distT="0" distB="0" distL="0" distR="0" wp14:anchorId="7485DB3A" wp14:editId="4E3842BF">
            <wp:extent cx="2538000" cy="45668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538000" cy="4566846"/>
                    </a:xfrm>
                    <a:prstGeom prst="rect">
                      <a:avLst/>
                    </a:prstGeom>
                  </pic:spPr>
                </pic:pic>
              </a:graphicData>
            </a:graphic>
          </wp:inline>
        </w:drawing>
      </w:r>
    </w:p>
    <w:p w14:paraId="70CEBCB7" w14:textId="77777777" w:rsidR="005C404C" w:rsidRPr="00CA5C5C" w:rsidRDefault="00000000">
      <w:pPr>
        <w:spacing w:after="160"/>
        <w:jc w:val="center"/>
        <w:rPr>
          <w:rFonts w:asciiTheme="majorHAnsi" w:hAnsiTheme="majorHAnsi" w:cstheme="majorHAnsi"/>
          <w:sz w:val="24"/>
          <w:szCs w:val="28"/>
        </w:rPr>
      </w:pPr>
      <w:r w:rsidRPr="00CA5C5C">
        <w:rPr>
          <w:rFonts w:asciiTheme="majorHAnsi" w:hAnsiTheme="majorHAnsi" w:cstheme="majorHAnsi"/>
          <w:i/>
          <w:color w:val="315681"/>
          <w:szCs w:val="28"/>
        </w:rPr>
        <w:t>Figura 1. Arquitectura cliente-servidor y módulos backend (diagrama original de Joaquín).</w:t>
      </w:r>
    </w:p>
    <w:p w14:paraId="462A9ADC" w14:textId="77777777" w:rsidR="005C404C" w:rsidRDefault="00000000">
      <w:pPr>
        <w:pStyle w:val="Ttulo2"/>
      </w:pPr>
      <w:r>
        <w:t>1.2 Organización del backend como monolito modular</w:t>
      </w:r>
    </w:p>
    <w:p w14:paraId="6B83D6CA"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 xml:space="preserve">A nivel de código y diseño interno, la API construida en FastAPI no se estructura como un bloque monolítico acoplado, sino que se organiza en </w:t>
      </w:r>
      <w:r w:rsidRPr="00CA5C5C">
        <w:rPr>
          <w:rFonts w:asciiTheme="majorHAnsi" w:hAnsiTheme="majorHAnsi" w:cstheme="majorHAnsi"/>
          <w:b/>
        </w:rPr>
        <w:t>módulos de dominio independientes</w:t>
      </w:r>
      <w:r w:rsidRPr="00CA5C5C">
        <w:rPr>
          <w:rFonts w:asciiTheme="majorHAnsi" w:hAnsiTheme="majorHAnsi" w:cstheme="majorHAnsi"/>
        </w:rPr>
        <w:t xml:space="preserve">. Cada módulo encapsula sus propios </w:t>
      </w:r>
      <w:r w:rsidRPr="00CA5C5C">
        <w:rPr>
          <w:rFonts w:asciiTheme="majorHAnsi" w:hAnsiTheme="majorHAnsi" w:cstheme="majorHAnsi"/>
        </w:rPr>
        <w:lastRenderedPageBreak/>
        <w:t>esquemas de datos de entrada/salida (utilizando esquemas Pydantic), controladores de rutas (APIRouter) y servicios de persistencia, manteniendo una separación lógica rigurosa:</w:t>
      </w:r>
    </w:p>
    <w:p w14:paraId="3BD400AA"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1.  </w:t>
      </w:r>
      <w:r w:rsidRPr="00CA5C5C">
        <w:rPr>
          <w:rFonts w:asciiTheme="majorHAnsi" w:hAnsiTheme="majorHAnsi" w:cstheme="majorHAnsi"/>
          <w:b/>
          <w:color w:val="1C385B"/>
        </w:rPr>
        <w:t>Módulo de Órdenes y Despacho (/orders):</w:t>
      </w:r>
      <w:r w:rsidRPr="00CA5C5C">
        <w:rPr>
          <w:rFonts w:asciiTheme="majorHAnsi" w:hAnsiTheme="majorHAnsi" w:cstheme="majorHAnsi"/>
        </w:rPr>
        <w:t xml:space="preserve"> Gobierna el ciclo de vida de la orden de soporte técnico en terreno (registro, asignación horaria a técnicos, avance de hitos operativos, consolidación de checklists, recepción de actas y validación de cierre).</w:t>
      </w:r>
    </w:p>
    <w:p w14:paraId="4F2A4835"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2.  </w:t>
      </w:r>
      <w:r w:rsidRPr="00CA5C5C">
        <w:rPr>
          <w:rFonts w:asciiTheme="majorHAnsi" w:hAnsiTheme="majorHAnsi" w:cstheme="majorHAnsi"/>
          <w:b/>
          <w:color w:val="1C385B"/>
        </w:rPr>
        <w:t>Módulo de Dispositivos e Inventario (/inventory):</w:t>
      </w:r>
      <w:r w:rsidRPr="00CA5C5C">
        <w:rPr>
          <w:rFonts w:asciiTheme="majorHAnsi" w:hAnsiTheme="majorHAnsi" w:cstheme="majorHAnsi"/>
        </w:rPr>
        <w:t xml:space="preserve"> Administra el inventario de equipamiento técnico, permitiendo el alta y control de tarjetas SIM (ICCID, operador, número asignado) y Routers (número de serie, MAC), regulando la vinculación operativa entre ambos y su mapeo hacia clientes y órdenes de servicio.</w:t>
      </w:r>
    </w:p>
    <w:p w14:paraId="2420F9EA"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3.  </w:t>
      </w:r>
      <w:r w:rsidRPr="00CA5C5C">
        <w:rPr>
          <w:rFonts w:asciiTheme="majorHAnsi" w:hAnsiTheme="majorHAnsi" w:cstheme="majorHAnsi"/>
          <w:b/>
          <w:color w:val="1C385B"/>
        </w:rPr>
        <w:t>Módulo de Identidad y Autenticación (/auth):</w:t>
      </w:r>
      <w:r w:rsidRPr="00CA5C5C">
        <w:rPr>
          <w:rFonts w:asciiTheme="majorHAnsi" w:hAnsiTheme="majorHAnsi" w:cstheme="majorHAnsi"/>
        </w:rPr>
        <w:t xml:space="preserve"> Gestiona la validación de credenciales para coordinadores y técnicos, la emisión y verificación de tokens criptográficos JWT con control de roles (RBAC), y la creación de tokens temporales de un solo uso para Magic Links.</w:t>
      </w:r>
    </w:p>
    <w:p w14:paraId="202045A0"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4.  </w:t>
      </w:r>
      <w:r w:rsidRPr="00CA5C5C">
        <w:rPr>
          <w:rFonts w:asciiTheme="majorHAnsi" w:hAnsiTheme="majorHAnsi" w:cstheme="majorHAnsi"/>
          <w:b/>
          <w:color w:val="1C385B"/>
        </w:rPr>
        <w:t>Módulo de Evidencias y Cierre (/evidences):</w:t>
      </w:r>
      <w:r w:rsidRPr="00CA5C5C">
        <w:rPr>
          <w:rFonts w:asciiTheme="majorHAnsi" w:hAnsiTheme="majorHAnsi" w:cstheme="majorHAnsi"/>
        </w:rPr>
        <w:t xml:space="preserve"> Procesa el almacenamiento seguro de archivos binarios e imágenes de terreno junto con la captura de firmas digitales registradas en el cierre de la atención.</w:t>
      </w:r>
    </w:p>
    <w:p w14:paraId="111BC6C5"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5.  </w:t>
      </w:r>
      <w:r w:rsidRPr="00CA5C5C">
        <w:rPr>
          <w:rFonts w:asciiTheme="majorHAnsi" w:hAnsiTheme="majorHAnsi" w:cstheme="majorHAnsi"/>
          <w:b/>
          <w:color w:val="1C385B"/>
        </w:rPr>
        <w:t>Módulo de Notificaciones Transaccionales (/notifications):</w:t>
      </w:r>
      <w:r w:rsidRPr="00CA5C5C">
        <w:rPr>
          <w:rFonts w:asciiTheme="majorHAnsi" w:hAnsiTheme="majorHAnsi" w:cstheme="majorHAnsi"/>
        </w:rPr>
        <w:t xml:space="preserve"> Se encarga de disparar eventos de mensajería electrónica hacia los clientes para el envío de enlaces de acceso y confirmaciones de soporte.</w:t>
      </w:r>
    </w:p>
    <w:p w14:paraId="71A53D85"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Esta modularidad interna permite que la base de código se mantenga estructurada y fácil de navegar durante el desarrollo incremental del MVP, facilitando la división del trabajo entre los desarrolladores sin generar conflictos de integración.</w:t>
      </w:r>
    </w:p>
    <w:p w14:paraId="6B35FBDE" w14:textId="77777777" w:rsidR="005C404C" w:rsidRDefault="00000000">
      <w:pPr>
        <w:pStyle w:val="Ttulo1"/>
        <w:pBdr>
          <w:bottom w:val="single" w:sz="13" w:space="4" w:color="E59438"/>
        </w:pBdr>
      </w:pPr>
      <w:r>
        <w:t>2. INTEGRACIÓN ENTRE REACT, APP TÉCNICA Y BACKEND</w:t>
      </w:r>
    </w:p>
    <w:p w14:paraId="110C6ADD" w14:textId="77777777" w:rsidR="005C404C" w:rsidRDefault="00000000">
      <w:pPr>
        <w:pStyle w:val="Ttulo2"/>
      </w:pPr>
      <w:r>
        <w:t>2.1 Presentación unificada y consumo de API</w:t>
      </w:r>
    </w:p>
    <w:p w14:paraId="246C5377"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 xml:space="preserve">La arquitectura de frontend del proyecto está construida sobre </w:t>
      </w:r>
      <w:r w:rsidRPr="00CA5C5C">
        <w:rPr>
          <w:rFonts w:asciiTheme="majorHAnsi" w:hAnsiTheme="majorHAnsi" w:cstheme="majorHAnsi"/>
          <w:b/>
        </w:rPr>
        <w:t>React</w:t>
      </w:r>
      <w:r w:rsidRPr="00CA5C5C">
        <w:rPr>
          <w:rFonts w:asciiTheme="majorHAnsi" w:hAnsiTheme="majorHAnsi" w:cstheme="majorHAnsi"/>
        </w:rPr>
        <w:t xml:space="preserve"> como librería base de interfaces de usuario. Para satisfacer los requerimientos de los distintos perfiles de usuario identificados en el Acta de Constitución, se implementan tres interfaces desacopladas que consumen de manera centralizada la API REST de FastAPI:</w:t>
      </w:r>
    </w:p>
    <w:p w14:paraId="6ACAB207"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Panel Web de Coordinación (Backoffice):</w:t>
      </w:r>
      <w:r w:rsidRPr="00CA5C5C">
        <w:rPr>
          <w:rFonts w:asciiTheme="majorHAnsi" w:hAnsiTheme="majorHAnsi" w:cstheme="majorHAnsi"/>
        </w:rPr>
        <w:t xml:space="preserve"> Aplicación de una sola página (SPA) en React diseñada para pantallas de escritorio. Consume endpoints con autenticación JWT para gestionar la agenda de despacho, el monitoreo del tablero operativo, la administración de usuarios y la trazabilidad del inventario técnico.</w:t>
      </w:r>
    </w:p>
    <w:p w14:paraId="7D1CA06A"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Portal Cliente:</w:t>
      </w:r>
      <w:r w:rsidRPr="00CA5C5C">
        <w:rPr>
          <w:rFonts w:asciiTheme="majorHAnsi" w:hAnsiTheme="majorHAnsi" w:cstheme="majorHAnsi"/>
        </w:rPr>
        <w:t xml:space="preserve"> Interfaz web ligera y responsiva en React. No requiere credenciales tradicionales; en su lugar, se activa cuando el cliente accede mediante un enlace parametrizado con un token dinámico (Magic Link). La aplicación consulta la API para validar el token y renderizar en pantalla los detalles de la visita pactada, ventana horaria y constancia formal de cierre.</w:t>
      </w:r>
    </w:p>
    <w:p w14:paraId="4E42F5AC"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Aplicación Móvil para Técnicos (PWA):</w:t>
      </w:r>
      <w:r w:rsidRPr="00CA5C5C">
        <w:rPr>
          <w:rFonts w:asciiTheme="majorHAnsi" w:hAnsiTheme="majorHAnsi" w:cstheme="majorHAnsi"/>
        </w:rPr>
        <w:t xml:space="preserve"> Aplicación Web Progresiva (Progressive Web App) construida sobre React y optimizada para pantallas táctiles de dispositivos móviles. Ofrece a los especialistas en terreno la capacidad de operar en dos modalidades: en línea (online) y desconectada (offline).</w:t>
      </w:r>
    </w:p>
    <w:p w14:paraId="79D7A85D" w14:textId="77777777" w:rsidR="005C404C" w:rsidRDefault="00000000">
      <w:pPr>
        <w:pStyle w:val="Ttulo2"/>
      </w:pPr>
      <w:r>
        <w:t>2.2 Funcionamiento y sincronización offline (PWA)</w:t>
      </w:r>
    </w:p>
    <w:p w14:paraId="6162F2AA" w14:textId="77777777" w:rsidR="005C404C" w:rsidRPr="00CA5C5C" w:rsidRDefault="00000000">
      <w:pPr>
        <w:spacing w:after="120"/>
        <w:rPr>
          <w:rFonts w:asciiTheme="majorHAnsi" w:hAnsiTheme="majorHAnsi" w:cstheme="majorHAnsi"/>
          <w:szCs w:val="20"/>
        </w:rPr>
      </w:pPr>
      <w:r w:rsidRPr="00CA5C5C">
        <w:rPr>
          <w:rFonts w:asciiTheme="majorHAnsi" w:hAnsiTheme="majorHAnsi" w:cstheme="majorHAnsi"/>
          <w:szCs w:val="20"/>
        </w:rPr>
        <w:t>Para cumplir con la restricción operativa de atender faenas con nula o deficiente conectividad de red celular, la PWA implementa una arquitectura híbrida apoyada en estándares web nativos:</w:t>
      </w:r>
    </w:p>
    <w:tbl>
      <w:tblPr>
        <w:tblW w:w="0" w:type="auto"/>
        <w:jc w:val="center"/>
        <w:tblLayout w:type="fixed"/>
        <w:tblLook w:val="04A0" w:firstRow="1" w:lastRow="0" w:firstColumn="1" w:lastColumn="0" w:noHBand="0" w:noVBand="1"/>
      </w:tblPr>
      <w:tblGrid>
        <w:gridCol w:w="6066"/>
        <w:gridCol w:w="2494"/>
      </w:tblGrid>
      <w:tr w:rsidR="005C404C" w:rsidRPr="00CA5C5C" w14:paraId="67AA84FC" w14:textId="77777777">
        <w:trPr>
          <w:jc w:val="center"/>
        </w:trPr>
        <w:tc>
          <w:tcPr>
            <w:tcW w:w="6066" w:type="dxa"/>
            <w:tcMar>
              <w:top w:w="0" w:type="dxa"/>
              <w:left w:w="0" w:type="dxa"/>
              <w:bottom w:w="0" w:type="dxa"/>
              <w:right w:w="50" w:type="dxa"/>
            </w:tcMar>
          </w:tcPr>
          <w:p w14:paraId="2C045FC4" w14:textId="77777777" w:rsidR="005C404C" w:rsidRPr="00CA5C5C" w:rsidRDefault="00000000">
            <w:pPr>
              <w:spacing w:after="180"/>
              <w:ind w:left="142"/>
              <w:rPr>
                <w:rFonts w:asciiTheme="majorHAnsi" w:hAnsiTheme="majorHAnsi" w:cstheme="majorHAnsi"/>
                <w:szCs w:val="20"/>
              </w:rPr>
            </w:pPr>
            <w:r w:rsidRPr="00CA5C5C">
              <w:rPr>
                <w:rFonts w:asciiTheme="majorHAnsi" w:hAnsiTheme="majorHAnsi" w:cstheme="majorHAnsi"/>
                <w:b/>
                <w:szCs w:val="20"/>
              </w:rPr>
              <w:lastRenderedPageBreak/>
              <w:t xml:space="preserve">1.  </w:t>
            </w:r>
            <w:r w:rsidRPr="00CA5C5C">
              <w:rPr>
                <w:rFonts w:asciiTheme="majorHAnsi" w:hAnsiTheme="majorHAnsi" w:cstheme="majorHAnsi"/>
                <w:b/>
                <w:color w:val="1C385B"/>
                <w:szCs w:val="20"/>
              </w:rPr>
              <w:t>Caché de Aplicación mediante Service Workers:</w:t>
            </w:r>
            <w:r w:rsidRPr="00CA5C5C">
              <w:rPr>
                <w:rFonts w:asciiTheme="majorHAnsi" w:hAnsiTheme="majorHAnsi" w:cstheme="majorHAnsi"/>
                <w:szCs w:val="20"/>
              </w:rPr>
              <w:t xml:space="preserve"> Un Service Worker intercepta las solicitudes de la aplicación en el dispositivo móvil. Los recursos estáticos (código React compilado, hojas de estilo, iconos y plantillas de checklist) se almacenan localmente bajo estrategias de almacenamiento en caché (Cache API), permitiendo acceder a recursos previamente almacenados aun sin conexión a internet.</w:t>
            </w:r>
          </w:p>
          <w:p w14:paraId="3EDAAD48" w14:textId="77777777" w:rsidR="005C404C" w:rsidRPr="00CA5C5C" w:rsidRDefault="00000000">
            <w:pPr>
              <w:spacing w:after="180"/>
              <w:ind w:left="142"/>
              <w:rPr>
                <w:rFonts w:asciiTheme="majorHAnsi" w:hAnsiTheme="majorHAnsi" w:cstheme="majorHAnsi"/>
                <w:szCs w:val="20"/>
              </w:rPr>
            </w:pPr>
            <w:r w:rsidRPr="00CA5C5C">
              <w:rPr>
                <w:rFonts w:asciiTheme="majorHAnsi" w:hAnsiTheme="majorHAnsi" w:cstheme="majorHAnsi"/>
                <w:b/>
                <w:szCs w:val="20"/>
              </w:rPr>
              <w:t xml:space="preserve">2.  </w:t>
            </w:r>
            <w:r w:rsidRPr="00CA5C5C">
              <w:rPr>
                <w:rFonts w:asciiTheme="majorHAnsi" w:hAnsiTheme="majorHAnsi" w:cstheme="majorHAnsi"/>
                <w:b/>
                <w:color w:val="1C385B"/>
                <w:szCs w:val="20"/>
              </w:rPr>
              <w:t>Persistencia Local de Datos Operativos (IndexedDB):</w:t>
            </w:r>
            <w:r w:rsidRPr="00CA5C5C">
              <w:rPr>
                <w:rFonts w:asciiTheme="majorHAnsi" w:hAnsiTheme="majorHAnsi" w:cstheme="majorHAnsi"/>
                <w:szCs w:val="20"/>
              </w:rPr>
              <w:t xml:space="preserve"> Cuando el técnico tiene conexión, la aplicación descarga su hoja de ruta diaria y los antecedentes técnicos de los routers y SIMs involucrados. Esta información se persiste localmente en una base de datos embebida en el navegador (IndexedDB).</w:t>
            </w:r>
          </w:p>
          <w:p w14:paraId="66367D25" w14:textId="77777777" w:rsidR="005C404C" w:rsidRPr="00CA5C5C" w:rsidRDefault="00000000">
            <w:pPr>
              <w:spacing w:after="180"/>
              <w:ind w:left="142"/>
              <w:rPr>
                <w:rFonts w:asciiTheme="majorHAnsi" w:hAnsiTheme="majorHAnsi" w:cstheme="majorHAnsi"/>
                <w:szCs w:val="20"/>
              </w:rPr>
            </w:pPr>
            <w:r w:rsidRPr="00CA5C5C">
              <w:rPr>
                <w:rFonts w:asciiTheme="majorHAnsi" w:hAnsiTheme="majorHAnsi" w:cstheme="majorHAnsi"/>
                <w:b/>
                <w:szCs w:val="20"/>
              </w:rPr>
              <w:t xml:space="preserve">3.  </w:t>
            </w:r>
            <w:r w:rsidRPr="00CA5C5C">
              <w:rPr>
                <w:rFonts w:asciiTheme="majorHAnsi" w:hAnsiTheme="majorHAnsi" w:cstheme="majorHAnsi"/>
                <w:b/>
                <w:color w:val="1C385B"/>
                <w:szCs w:val="20"/>
              </w:rPr>
              <w:t>Cola de Transacciones Fuera de Línea (Offline Mutation Queue):</w:t>
            </w:r>
            <w:r w:rsidRPr="00CA5C5C">
              <w:rPr>
                <w:rFonts w:asciiTheme="majorHAnsi" w:hAnsiTheme="majorHAnsi" w:cstheme="majorHAnsi"/>
                <w:szCs w:val="20"/>
              </w:rPr>
              <w:t xml:space="preserve"> Durante una desconexión, el técnico ejecuta el checklist, adjunta evidencias fotográficas y recopila firmas digitales en pantalla. La aplicación no bloquea la interacción; en su lugar, serializa cada acción y la almacena cronológicamente en una cola de salida local dentro de IndexedDB.</w:t>
            </w:r>
          </w:p>
          <w:p w14:paraId="536BD40D" w14:textId="77777777" w:rsidR="005C404C" w:rsidRPr="00CA5C5C" w:rsidRDefault="00000000">
            <w:pPr>
              <w:spacing w:after="180"/>
              <w:ind w:left="142"/>
              <w:rPr>
                <w:rFonts w:asciiTheme="majorHAnsi" w:hAnsiTheme="majorHAnsi" w:cstheme="majorHAnsi"/>
                <w:szCs w:val="20"/>
              </w:rPr>
            </w:pPr>
            <w:r w:rsidRPr="00CA5C5C">
              <w:rPr>
                <w:rFonts w:asciiTheme="majorHAnsi" w:hAnsiTheme="majorHAnsi" w:cstheme="majorHAnsi"/>
                <w:b/>
                <w:szCs w:val="20"/>
              </w:rPr>
              <w:t xml:space="preserve">4.  </w:t>
            </w:r>
            <w:r w:rsidRPr="00CA5C5C">
              <w:rPr>
                <w:rFonts w:asciiTheme="majorHAnsi" w:hAnsiTheme="majorHAnsi" w:cstheme="majorHAnsi"/>
                <w:b/>
                <w:color w:val="1C385B"/>
                <w:szCs w:val="20"/>
              </w:rPr>
              <w:t>Sincronización Asíncrona Diferida:</w:t>
            </w:r>
            <w:r w:rsidRPr="00CA5C5C">
              <w:rPr>
                <w:rFonts w:asciiTheme="majorHAnsi" w:hAnsiTheme="majorHAnsi" w:cstheme="majorHAnsi"/>
                <w:szCs w:val="20"/>
              </w:rPr>
              <w:t xml:space="preserve"> La PWA monitorea el estado del enlace mediante oyentes de eventos de red. Al confirmarse el retorno de la conexión, el Service Worker o la capa de servicios de la aplicación procesa la cola de transacciones pendientes enviando los registros en bloques (batch) hacia los endpoints transaccionales de la API FastAPI, logrando la persistencia definitiva en PostgreSQL (Neon) con medidas para reducir el riesgo de pérdida de datos.</w:t>
            </w:r>
          </w:p>
        </w:tc>
        <w:tc>
          <w:tcPr>
            <w:tcW w:w="2494" w:type="dxa"/>
            <w:tcMar>
              <w:top w:w="0" w:type="dxa"/>
              <w:left w:w="0" w:type="dxa"/>
              <w:bottom w:w="0" w:type="dxa"/>
              <w:right w:w="0" w:type="dxa"/>
            </w:tcMar>
          </w:tcPr>
          <w:p w14:paraId="6AB2C7DE" w14:textId="77777777" w:rsidR="005C404C" w:rsidRPr="00CA5C5C" w:rsidRDefault="00000000">
            <w:pPr>
              <w:jc w:val="center"/>
              <w:rPr>
                <w:rFonts w:asciiTheme="majorHAnsi" w:hAnsiTheme="majorHAnsi" w:cstheme="majorHAnsi"/>
                <w:szCs w:val="20"/>
              </w:rPr>
            </w:pPr>
            <w:r w:rsidRPr="00CA5C5C">
              <w:rPr>
                <w:rFonts w:asciiTheme="majorHAnsi" w:hAnsiTheme="majorHAnsi" w:cstheme="majorHAnsi"/>
                <w:noProof/>
                <w:szCs w:val="20"/>
              </w:rPr>
              <w:drawing>
                <wp:inline distT="0" distB="0" distL="0" distR="0" wp14:anchorId="5F656AD5" wp14:editId="50C0583A">
                  <wp:extent cx="1494000" cy="518730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494000" cy="5187307"/>
                          </a:xfrm>
                          <a:prstGeom prst="rect">
                            <a:avLst/>
                          </a:prstGeom>
                        </pic:spPr>
                      </pic:pic>
                    </a:graphicData>
                  </a:graphic>
                </wp:inline>
              </w:drawing>
            </w:r>
          </w:p>
        </w:tc>
      </w:tr>
    </w:tbl>
    <w:p w14:paraId="13BCA29F" w14:textId="77777777" w:rsidR="005C404C" w:rsidRPr="00CA5C5C" w:rsidRDefault="00000000">
      <w:pPr>
        <w:jc w:val="right"/>
        <w:rPr>
          <w:rFonts w:asciiTheme="majorHAnsi" w:hAnsiTheme="majorHAnsi" w:cstheme="majorHAnsi"/>
          <w:sz w:val="24"/>
          <w:szCs w:val="28"/>
        </w:rPr>
      </w:pPr>
      <w:r w:rsidRPr="00CA5C5C">
        <w:rPr>
          <w:rFonts w:asciiTheme="majorHAnsi" w:hAnsiTheme="majorHAnsi" w:cstheme="majorHAnsi"/>
          <w:i/>
          <w:color w:val="315681"/>
          <w:szCs w:val="28"/>
        </w:rPr>
        <w:t>Figura 2. Flujo de sincronización online/offline (diagrama original de Joaquín).</w:t>
      </w:r>
    </w:p>
    <w:p w14:paraId="46B776E4" w14:textId="77777777" w:rsidR="005C404C" w:rsidRDefault="00000000">
      <w:pPr>
        <w:pStyle w:val="Ttulo1"/>
        <w:pBdr>
          <w:bottom w:val="single" w:sz="13" w:space="4" w:color="E59438"/>
        </w:pBdr>
      </w:pPr>
      <w:r>
        <w:t>3. CATÁLOGO DE SERVICIOS, API REST Y EVENTOS</w:t>
      </w:r>
    </w:p>
    <w:p w14:paraId="0758ED76" w14:textId="77777777" w:rsidR="005C404C" w:rsidRDefault="00000000">
      <w:pPr>
        <w:pStyle w:val="Ttulo2"/>
      </w:pPr>
      <w:r>
        <w:t>3.1 Comunicación y diseño de la API REST</w:t>
      </w:r>
    </w:p>
    <w:p w14:paraId="799A792B"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La comunicación entre todas las interfaces y el núcleo del sistema se fundamenta en el protocolo HTTP/HTTPS utilizando el estándar arquitectónico REST (</w:t>
      </w:r>
      <w:r w:rsidRPr="00CA5C5C">
        <w:rPr>
          <w:rFonts w:asciiTheme="majorHAnsi" w:hAnsiTheme="majorHAnsi" w:cstheme="majorHAnsi"/>
          <w:i/>
        </w:rPr>
        <w:t>Representational State Transfer</w:t>
      </w:r>
      <w:r w:rsidRPr="00CA5C5C">
        <w:rPr>
          <w:rFonts w:asciiTheme="majorHAnsi" w:hAnsiTheme="majorHAnsi" w:cstheme="majorHAnsi"/>
        </w:rPr>
        <w:t>). Todas las cargas útiles (</w:t>
      </w:r>
      <w:r w:rsidRPr="00CA5C5C">
        <w:rPr>
          <w:rFonts w:asciiTheme="majorHAnsi" w:hAnsiTheme="majorHAnsi" w:cstheme="majorHAnsi"/>
          <w:i/>
        </w:rPr>
        <w:t>payloads</w:t>
      </w:r>
      <w:r w:rsidRPr="00CA5C5C">
        <w:rPr>
          <w:rFonts w:asciiTheme="majorHAnsi" w:hAnsiTheme="majorHAnsi" w:cstheme="majorHAnsi"/>
        </w:rPr>
        <w:t xml:space="preserve">) de solicitud y respuesta se estructuran en formato JSON. </w:t>
      </w:r>
    </w:p>
    <w:p w14:paraId="36275464"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La API puede documentarse mediante la especificación interactiva OpenAPI/Swagger expuesta por FastAPI en tiempo de ejecución (/docs), facilitando contratos claros para las integraciones.</w:t>
      </w:r>
    </w:p>
    <w:p w14:paraId="1DDD5E37" w14:textId="77777777" w:rsidR="005C404C" w:rsidRDefault="00000000">
      <w:pPr>
        <w:pStyle w:val="Ttulo2"/>
      </w:pPr>
      <w:r>
        <w:t>3.2 Catálogo principal de endpoints de la API REST</w:t>
      </w:r>
    </w:p>
    <w:p w14:paraId="50742E4F" w14:textId="77777777" w:rsidR="005C404C" w:rsidRPr="00CA5C5C" w:rsidRDefault="00000000">
      <w:pPr>
        <w:rPr>
          <w:rFonts w:asciiTheme="majorHAnsi" w:hAnsiTheme="majorHAnsi" w:cstheme="majorHAnsi"/>
          <w:i/>
          <w:sz w:val="22"/>
          <w:szCs w:val="24"/>
        </w:rPr>
      </w:pPr>
      <w:r w:rsidRPr="00CA5C5C">
        <w:rPr>
          <w:rFonts w:asciiTheme="majorHAnsi" w:hAnsiTheme="majorHAnsi" w:cstheme="majorHAnsi"/>
          <w:i/>
          <w:szCs w:val="24"/>
        </w:rPr>
        <w:t>Las rutas siguientes corresponden al diseño documentado por el equipo; su coincidencia con la implementación deberá verificarse en OpenAPI/Swagger antes de la entrega final.</w:t>
      </w:r>
    </w:p>
    <w:tbl>
      <w:tblPr>
        <w:tblW w:w="0" w:type="auto"/>
        <w:jc w:val="center"/>
        <w:tblLayout w:type="fixed"/>
        <w:tblLook w:val="04A0" w:firstRow="1" w:lastRow="0" w:firstColumn="1" w:lastColumn="0" w:noHBand="0" w:noVBand="1"/>
      </w:tblPr>
      <w:tblGrid>
        <w:gridCol w:w="1247"/>
        <w:gridCol w:w="822"/>
        <w:gridCol w:w="2268"/>
        <w:gridCol w:w="2920"/>
        <w:gridCol w:w="1672"/>
      </w:tblGrid>
      <w:tr w:rsidR="005C404C" w:rsidRPr="00CA5C5C" w14:paraId="69BA51C7" w14:textId="77777777">
        <w:trPr>
          <w:cantSplit/>
          <w:tblHeader/>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14216DB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color w:val="FFFFFF"/>
                <w:szCs w:val="20"/>
              </w:rPr>
              <w:lastRenderedPageBreak/>
              <w:t>Servicio / Recurso</w:t>
            </w:r>
          </w:p>
        </w:tc>
        <w:tc>
          <w:tcPr>
            <w:tcW w:w="822"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617B8163"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color w:val="FFFFFF"/>
                <w:szCs w:val="20"/>
              </w:rPr>
              <w:t>Método</w:t>
            </w:r>
          </w:p>
        </w:tc>
        <w:tc>
          <w:tcPr>
            <w:tcW w:w="2268"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5A1FA6B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color w:val="FFFFFF"/>
                <w:szCs w:val="20"/>
              </w:rPr>
              <w:t>Ruta Relativa (Endpoint)</w:t>
            </w:r>
          </w:p>
        </w:tc>
        <w:tc>
          <w:tcPr>
            <w:tcW w:w="2920"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0B4C1FC4"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color w:val="FFFFFF"/>
                <w:szCs w:val="20"/>
              </w:rPr>
              <w:t>Descripción y Contrato</w:t>
            </w:r>
          </w:p>
        </w:tc>
        <w:tc>
          <w:tcPr>
            <w:tcW w:w="1672"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026B4EC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color w:val="FFFFFF"/>
                <w:szCs w:val="20"/>
              </w:rPr>
              <w:t>Mecanismo de Autenticación</w:t>
            </w:r>
          </w:p>
        </w:tc>
      </w:tr>
      <w:tr w:rsidR="005C404C" w:rsidRPr="00CA5C5C" w14:paraId="5A6F0809"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2BE03A8E"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Autenticación</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4331C59"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47D3561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/api/v1/auth/login</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119B0023"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Recibe credenciales de usuario interno; retorna token JWT de sesión con expiración y roles asignados.</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260E648"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Público (Login inicial)</w:t>
            </w:r>
          </w:p>
        </w:tc>
      </w:tr>
      <w:tr w:rsidR="005C404C" w:rsidRPr="00CA5C5C" w14:paraId="2A9053B2"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70941DBB"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Magic Links</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7D458551"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F187453"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/v1/auth/magic-link/generate</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183396C1"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Genera y almacena un token criptográfico temporal para una orden de servicio dada; despacha notificación al cliente.</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0E2B34A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Privado (Coordinador)</w:t>
            </w:r>
          </w:p>
        </w:tc>
      </w:tr>
      <w:tr w:rsidR="005C404C" w:rsidRPr="00CA5C5C" w14:paraId="1AF7401C"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DE7A9C1"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Magic Links</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3B684601"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GET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2A5255A1"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/v1/auth/magic-link/verify</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33ABBCF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Valida la autenticidad, uso único y vigencia del token presentado en el Portal Cliente; autoriza la sesión temporal.</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E7DCB90"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Token en Query Params</w:t>
            </w:r>
          </w:p>
        </w:tc>
      </w:tr>
      <w:tr w:rsidR="005C404C" w:rsidRPr="00CA5C5C" w14:paraId="3DB17206"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1A63421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Órdenes de Servicio</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CEC71D5"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GET</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45D7D8A9"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/api/v1/orders</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049FB4F9"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Retorna listado de órdenes con soporte de filtros operativos (estado, técnico, cliente, rango de fechas).</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7DEE654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(Coordinador)</w:t>
            </w:r>
          </w:p>
        </w:tc>
      </w:tr>
      <w:tr w:rsidR="005C404C" w:rsidRPr="00CA5C5C" w14:paraId="72997D7F"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B70206D"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Órdenes de Servicio</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798E40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3F7149C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/api/v1/orders</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828DBD1"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Da de alta una nueva orden técnica en el sistema vinculando cliente, sede y equipos requeridos.</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285D06B"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(Coordinador)</w:t>
            </w:r>
          </w:p>
        </w:tc>
      </w:tr>
      <w:tr w:rsidR="005C404C" w:rsidRPr="00CA5C5C" w14:paraId="737EE0FF"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05706F2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Despacho y Asignación</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45658C2D"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PATCH</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3BF8618"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/v1/orders/{id}/assign</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45882833"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Asigna o reasigna un técnico responsable y una ventana horaria de atención a la orden de servicio.</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137B126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(Coordinador)</w:t>
            </w:r>
          </w:p>
        </w:tc>
      </w:tr>
      <w:tr w:rsidR="005C404C" w:rsidRPr="00CA5C5C" w14:paraId="691F0458"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58A8B13"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Hoja de Ruta Técnico</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F063C3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GET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D418596"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/api/v1/orders/assigned</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5AEC9B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Consulta la agenda diaria de visitas técnicas programadas para el técnico autenticado</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2D7E80C6"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(Técnico)</w:t>
            </w:r>
          </w:p>
        </w:tc>
      </w:tr>
      <w:tr w:rsidR="005C404C" w:rsidRPr="00CA5C5C" w14:paraId="7D59658C"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5F68AB2"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Estados de Atención</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3E33A9A1"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PATCH</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5EFF4C98"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/v1/orders/{id}/status</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032A4B86" w14:textId="77777777" w:rsidR="005C404C" w:rsidRPr="00CA5C5C" w:rsidRDefault="00000000">
            <w:pPr>
              <w:spacing w:after="0" w:line="245" w:lineRule="auto"/>
              <w:rPr>
                <w:rFonts w:asciiTheme="majorHAnsi" w:hAnsiTheme="majorHAnsi" w:cstheme="majorHAnsi"/>
                <w:szCs w:val="20"/>
              </w:rPr>
            </w:pPr>
            <w:proofErr w:type="spellStart"/>
            <w:r w:rsidRPr="00CA5C5C">
              <w:rPr>
                <w:rFonts w:asciiTheme="majorHAnsi" w:hAnsiTheme="majorHAnsi" w:cstheme="majorHAnsi"/>
                <w:szCs w:val="20"/>
              </w:rPr>
              <w:t>Transiciona</w:t>
            </w:r>
            <w:proofErr w:type="spellEnd"/>
            <w:r w:rsidRPr="00CA5C5C">
              <w:rPr>
                <w:rFonts w:asciiTheme="majorHAnsi" w:hAnsiTheme="majorHAnsi" w:cstheme="majorHAnsi"/>
                <w:szCs w:val="20"/>
              </w:rPr>
              <w:t xml:space="preserve"> el estado de la visita (En Ruta, En Sitio, Fallida).</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08A0012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(Técnico)</w:t>
            </w:r>
          </w:p>
        </w:tc>
      </w:tr>
      <w:tr w:rsidR="005C404C" w:rsidRPr="00CA5C5C" w14:paraId="0CBAE3BB"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999B305"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Cierre y Checklists</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4875AB98"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544CBD2"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/v1/orders/{id}/close</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1B4C1CD2"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 xml:space="preserve">Registra el resultado de la visita, </w:t>
            </w:r>
            <w:proofErr w:type="spellStart"/>
            <w:r w:rsidRPr="00CA5C5C">
              <w:rPr>
                <w:rFonts w:asciiTheme="majorHAnsi" w:hAnsiTheme="majorHAnsi" w:cstheme="majorHAnsi"/>
                <w:szCs w:val="20"/>
              </w:rPr>
              <w:t>checklist</w:t>
            </w:r>
            <w:proofErr w:type="spellEnd"/>
            <w:r w:rsidRPr="00CA5C5C">
              <w:rPr>
                <w:rFonts w:asciiTheme="majorHAnsi" w:hAnsiTheme="majorHAnsi" w:cstheme="majorHAnsi"/>
                <w:szCs w:val="20"/>
              </w:rPr>
              <w:t xml:space="preserve"> de validación técnica, diagnósticos y metadatos de cierre</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1FA5C7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(Técnico)</w:t>
            </w:r>
          </w:p>
        </w:tc>
      </w:tr>
      <w:tr w:rsidR="005C404C" w:rsidRPr="00CA5C5C" w14:paraId="16B6BAD8"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78BF38E0"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Sincronización Batch</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5AF5CF34"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231AD20A"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/v1/orders/sync-batch</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56F87C6F" w14:textId="77777777" w:rsidR="005C404C" w:rsidRPr="00CA5C5C" w:rsidRDefault="00000000">
            <w:pPr>
              <w:spacing w:after="0" w:line="245" w:lineRule="auto"/>
              <w:rPr>
                <w:rFonts w:asciiTheme="majorHAnsi" w:hAnsiTheme="majorHAnsi" w:cstheme="majorHAnsi"/>
                <w:szCs w:val="20"/>
              </w:rPr>
            </w:pPr>
            <w:proofErr w:type="spellStart"/>
            <w:r w:rsidRPr="00CA5C5C">
              <w:rPr>
                <w:rFonts w:asciiTheme="majorHAnsi" w:hAnsiTheme="majorHAnsi" w:cstheme="majorHAnsi"/>
                <w:szCs w:val="20"/>
              </w:rPr>
              <w:t>Endpoint</w:t>
            </w:r>
            <w:proofErr w:type="spellEnd"/>
            <w:r w:rsidRPr="00CA5C5C">
              <w:rPr>
                <w:rFonts w:asciiTheme="majorHAnsi" w:hAnsiTheme="majorHAnsi" w:cstheme="majorHAnsi"/>
                <w:szCs w:val="20"/>
              </w:rPr>
              <w:t xml:space="preserve"> para ingesta en lote de órdenes, evidencias y transacciones registradas en modo desconectado (offline)</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15CA8E03"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(Técnico)</w:t>
            </w:r>
          </w:p>
        </w:tc>
      </w:tr>
      <w:tr w:rsidR="005C404C" w:rsidRPr="00CA5C5C" w14:paraId="57F75F00"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B2ABB52"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Evidencias y Firmas</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3161243D"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6B7FDEA"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/v1/orders/{id}/evidences</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B94FE56"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Recibe archivos de imagen y representaciones de firmas digitales capturadas en pantalla para su persistencia</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DEDD453"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(Técnico)</w:t>
            </w:r>
          </w:p>
        </w:tc>
      </w:tr>
      <w:tr w:rsidR="005C404C" w:rsidRPr="00CA5C5C" w14:paraId="5380EEED"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48045DBD"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lastRenderedPageBreak/>
              <w:t>Inventario SIMs</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A8CF439"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GET / POST</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3C82235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/api/v1/inventory/sims</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793C63B"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Permite el alta, listado y control operativo del parque de tarjetas SIM (ICCID, operador, número)</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2B28B3A8"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(Coordinador)</w:t>
            </w:r>
          </w:p>
        </w:tc>
      </w:tr>
      <w:tr w:rsidR="005C404C" w:rsidRPr="00CA5C5C" w14:paraId="7559FD1F"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145ACB19"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Inventario Routers</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7A2E3F1E"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GET / POST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B385536"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/api/v1/inventory/routers</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1B29E770"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Permite el registro de equipos Routers (marca, modelo, serie, MAC) y su estado funcional.</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31A07FF7"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(Coordinador)</w:t>
            </w:r>
          </w:p>
        </w:tc>
      </w:tr>
      <w:tr w:rsidR="005C404C" w:rsidRPr="00CA5C5C" w14:paraId="48332F66"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185078A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Asociación de Equipos</w:t>
            </w:r>
          </w:p>
        </w:tc>
        <w:tc>
          <w:tcPr>
            <w:tcW w:w="82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231C289"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POST</w:t>
            </w:r>
          </w:p>
        </w:tc>
        <w:tc>
          <w:tcPr>
            <w:tcW w:w="2268"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2A00E520"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/api/v1/inventory/pair</w:t>
            </w:r>
          </w:p>
        </w:tc>
        <w:tc>
          <w:tcPr>
            <w:tcW w:w="2920"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7F62D0E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Realiza el emparejamiento lógico y control de exclusividad entre un Router y una tarjeta SIM específica</w:t>
            </w:r>
          </w:p>
        </w:tc>
        <w:tc>
          <w:tcPr>
            <w:tcW w:w="167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0CF5AE7A"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Bearer JWT (Coordinador)</w:t>
            </w:r>
          </w:p>
        </w:tc>
      </w:tr>
      <w:tr w:rsidR="005C404C" w:rsidRPr="00CA5C5C" w14:paraId="60F8F06D" w14:textId="77777777">
        <w:trPr>
          <w:cantSplit/>
          <w:jc w:val="center"/>
        </w:trPr>
        <w:tc>
          <w:tcPr>
            <w:tcW w:w="1247"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EAE34EB"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Consulta Cliente</w:t>
            </w:r>
          </w:p>
        </w:tc>
        <w:tc>
          <w:tcPr>
            <w:tcW w:w="82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2C31058C"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b/>
                <w:szCs w:val="20"/>
              </w:rPr>
              <w:t>GET</w:t>
            </w:r>
          </w:p>
        </w:tc>
        <w:tc>
          <w:tcPr>
            <w:tcW w:w="2268"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FAE8E2B" w14:textId="77777777" w:rsidR="005C404C" w:rsidRPr="00CA5C5C" w:rsidRDefault="00000000">
            <w:pPr>
              <w:spacing w:after="0" w:line="245" w:lineRule="auto"/>
              <w:rPr>
                <w:rFonts w:asciiTheme="majorHAnsi" w:hAnsiTheme="majorHAnsi" w:cstheme="majorHAnsi"/>
                <w:szCs w:val="20"/>
                <w:lang w:val="en-US"/>
              </w:rPr>
            </w:pPr>
            <w:r w:rsidRPr="00CA5C5C">
              <w:rPr>
                <w:rFonts w:asciiTheme="majorHAnsi" w:hAnsiTheme="majorHAnsi" w:cstheme="majorHAnsi"/>
                <w:szCs w:val="20"/>
                <w:lang w:val="en-US"/>
              </w:rPr>
              <w:t>/</w:t>
            </w:r>
            <w:proofErr w:type="spellStart"/>
            <w:r w:rsidRPr="00CA5C5C">
              <w:rPr>
                <w:rFonts w:asciiTheme="majorHAnsi" w:hAnsiTheme="majorHAnsi" w:cstheme="majorHAnsi"/>
                <w:szCs w:val="20"/>
                <w:lang w:val="en-US"/>
              </w:rPr>
              <w:t>api</w:t>
            </w:r>
            <w:proofErr w:type="spellEnd"/>
            <w:r w:rsidRPr="00CA5C5C">
              <w:rPr>
                <w:rFonts w:asciiTheme="majorHAnsi" w:hAnsiTheme="majorHAnsi" w:cstheme="majorHAnsi"/>
                <w:szCs w:val="20"/>
                <w:lang w:val="en-US"/>
              </w:rPr>
              <w:t>/v1/client/order-summary</w:t>
            </w:r>
          </w:p>
        </w:tc>
        <w:tc>
          <w:tcPr>
            <w:tcW w:w="2920"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1690FE4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Retorna los datos de resumen de la visita, confirmación horaria y acta formal de servicio para el Portal Cliente</w:t>
            </w:r>
          </w:p>
        </w:tc>
        <w:tc>
          <w:tcPr>
            <w:tcW w:w="167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378EBBF" w14:textId="77777777" w:rsidR="005C404C" w:rsidRPr="00CA5C5C" w:rsidRDefault="00000000">
            <w:pPr>
              <w:spacing w:after="0" w:line="245" w:lineRule="auto"/>
              <w:rPr>
                <w:rFonts w:asciiTheme="majorHAnsi" w:hAnsiTheme="majorHAnsi" w:cstheme="majorHAnsi"/>
                <w:szCs w:val="20"/>
              </w:rPr>
            </w:pPr>
            <w:r w:rsidRPr="00CA5C5C">
              <w:rPr>
                <w:rFonts w:asciiTheme="majorHAnsi" w:hAnsiTheme="majorHAnsi" w:cstheme="majorHAnsi"/>
                <w:szCs w:val="20"/>
              </w:rPr>
              <w:t>Token Magic Link validado</w:t>
            </w:r>
          </w:p>
        </w:tc>
      </w:tr>
    </w:tbl>
    <w:p w14:paraId="492C70F8" w14:textId="77777777" w:rsidR="005C404C" w:rsidRDefault="005C404C">
      <w:pPr>
        <w:spacing w:after="20"/>
      </w:pPr>
    </w:p>
    <w:p w14:paraId="48F6BF19" w14:textId="77777777" w:rsidR="005C404C" w:rsidRDefault="00000000">
      <w:pPr>
        <w:pStyle w:val="Ttulo2"/>
      </w:pPr>
      <w:r>
        <w:t>3.3 Eventos transaccionales, disparadores y webhooks</w:t>
      </w:r>
    </w:p>
    <w:p w14:paraId="3D0DF63A"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En el ecosistema ATLAS, los eventos transaccionales actúan como desencadenadores de flujos automáticos orientados a mantener la sincronía entre coordinación, técnicos y clientes:</w:t>
      </w:r>
    </w:p>
    <w:p w14:paraId="5BABE83C"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Disparo de Correo por Creación/Agendamiento de Orden:</w:t>
      </w:r>
      <w:r w:rsidRPr="00CA5C5C">
        <w:rPr>
          <w:rFonts w:asciiTheme="majorHAnsi" w:hAnsiTheme="majorHAnsi" w:cstheme="majorHAnsi"/>
        </w:rPr>
        <w:t xml:space="preserve"> Al registrarse o agendarse una orden técnica en el Backoffice, el sistema dispara internamente un evento que genera un Magic Link con token seguro y lo despacha al correo electrónico del cliente a través de un servicio SMTP transaccional.</w:t>
      </w:r>
    </w:p>
    <w:p w14:paraId="6CF9257A"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Disparo por Notificación de Término de Servicio:</w:t>
      </w:r>
      <w:r w:rsidRPr="00CA5C5C">
        <w:rPr>
          <w:rFonts w:asciiTheme="majorHAnsi" w:hAnsiTheme="majorHAnsi" w:cstheme="majorHAnsi"/>
        </w:rPr>
        <w:t xml:space="preserve"> Al confirmarse el cierre formal de una orden en terreno (mediante la PWA o sincronización batch), se dispara un evento que actualiza el estado global de la atención en PostgreSQL y envía al cliente la notificación con el enlace de respaldo digital formal del servicio.</w:t>
      </w:r>
    </w:p>
    <w:p w14:paraId="2D1FB7CD"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Manejo de Webhooks para Integraciones Externas (Arquitectura Preparada):</w:t>
      </w:r>
      <w:r w:rsidRPr="00CA5C5C">
        <w:rPr>
          <w:rFonts w:asciiTheme="majorHAnsi" w:hAnsiTheme="majorHAnsi" w:cstheme="majorHAnsi"/>
        </w:rPr>
        <w:t xml:space="preserve"> Para soportar futuras integraciones con plataformas corporativas del sponsor (ENTEL) o sistemas externos de mesa de ayuda, el backend contempla un controlador de Webhooks salientes. Este componente permite despachar peticiones HTTP POST con cargas JSON firmadas hacia URLs externas suscritas ante eventos clave como order.status_changed, device.swapped o visit.completed.</w:t>
      </w:r>
    </w:p>
    <w:p w14:paraId="34DAFE54" w14:textId="77777777" w:rsidR="005C404C" w:rsidRDefault="00000000">
      <w:pPr>
        <w:pStyle w:val="Ttulo1"/>
        <w:pBdr>
          <w:bottom w:val="single" w:sz="13" w:space="4" w:color="E59438"/>
        </w:pBdr>
      </w:pPr>
      <w:r>
        <w:t>4. DECISIONES ARQUITECTÓNICAS Y RESTRICCIONES TÉCNICAS</w:t>
      </w:r>
    </w:p>
    <w:p w14:paraId="505BA199" w14:textId="77777777" w:rsidR="005C404C" w:rsidRDefault="00000000">
      <w:pPr>
        <w:pStyle w:val="Ttulo2"/>
      </w:pPr>
      <w:r>
        <w:t>4.1 Justificación de las tecnologías</w:t>
      </w:r>
    </w:p>
    <w:p w14:paraId="6653568D"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Las elecciones de arquitectura y herramientas técnicas responden directamente a los objetivos de digitalización, rapidez de despliegue y criterios de éxito del proyecto ATLAS:</w:t>
      </w:r>
    </w:p>
    <w:p w14:paraId="262C559C"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FastAPI (Backend):</w:t>
      </w:r>
      <w:r w:rsidRPr="00CA5C5C">
        <w:rPr>
          <w:rFonts w:asciiTheme="majorHAnsi" w:hAnsiTheme="majorHAnsi" w:cstheme="majorHAnsi"/>
        </w:rPr>
        <w:t xml:space="preserve"> Se seleccionó por su alto rendimiento en operaciones asíncronas de entrada/salida (asyncio), su consumo reducido de memoria y su generación automática de especificaciones OpenAPI/Swagger. Esta </w:t>
      </w:r>
      <w:r w:rsidRPr="00CA5C5C">
        <w:rPr>
          <w:rFonts w:asciiTheme="majorHAnsi" w:hAnsiTheme="majorHAnsi" w:cstheme="majorHAnsi"/>
        </w:rPr>
        <w:lastRenderedPageBreak/>
        <w:t>última cualidad reduce sustancialmente el riesgo de desalineación o fallas de integración en el equipo de desarrollo, cumpliendo con las medidas preventivas definidas en el Acta.</w:t>
      </w:r>
    </w:p>
    <w:p w14:paraId="0DDD1B37"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React (Panel Web, Portal Cliente y PWA):</w:t>
      </w:r>
      <w:r w:rsidRPr="00CA5C5C">
        <w:rPr>
          <w:rFonts w:asciiTheme="majorHAnsi" w:hAnsiTheme="majorHAnsi" w:cstheme="majorHAnsi"/>
        </w:rPr>
        <w:t xml:space="preserve"> Su enfoque basado en componentes modulares y su amplio ecosistema permiten reutilizar lógica de conexión, estados y validaciones entre el Panel de Coordinación, el Portal de seguimiento y la aplicación técnica de campo. Esto optimiza los tiempos de implementación durante el cronograma académico.</w:t>
      </w:r>
    </w:p>
    <w:p w14:paraId="7669C2C7"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PostgreSQL sobre Neon:</w:t>
      </w:r>
      <w:r w:rsidRPr="00CA5C5C">
        <w:rPr>
          <w:rFonts w:asciiTheme="majorHAnsi" w:hAnsiTheme="majorHAnsi" w:cstheme="majorHAnsi"/>
        </w:rPr>
        <w:t xml:space="preserve"> La adopción de un modelo relacional centralizado favorece la integridad referencial y consistencia requerida para manejar inventario de hardware (relaciones 1:1 entre SIMs y Routers) y la trazabilidad de visitas con medidas para reducir el riesgo de pérdida de datos. Neon aporta una capa serverless con alta disponibilidad y aprovisionamiento ágil en la nube sin requerir la administración de servidores físicos dedicados.</w:t>
      </w:r>
    </w:p>
    <w:p w14:paraId="5262362A" w14:textId="77777777" w:rsidR="005C404C" w:rsidRPr="00CA5C5C" w:rsidRDefault="00000000">
      <w:pPr>
        <w:ind w:left="397" w:hanging="238"/>
        <w:rPr>
          <w:rFonts w:asciiTheme="majorHAnsi" w:hAnsiTheme="majorHAnsi" w:cstheme="majorHAnsi"/>
        </w:rPr>
      </w:pPr>
      <w:r w:rsidRPr="00CA5C5C">
        <w:rPr>
          <w:rFonts w:asciiTheme="majorHAnsi" w:hAnsiTheme="majorHAnsi" w:cstheme="majorHAnsi"/>
        </w:rPr>
        <w:t xml:space="preserve">•  </w:t>
      </w:r>
      <w:r w:rsidRPr="00CA5C5C">
        <w:rPr>
          <w:rFonts w:asciiTheme="majorHAnsi" w:hAnsiTheme="majorHAnsi" w:cstheme="majorHAnsi"/>
          <w:b/>
          <w:color w:val="1C385B"/>
        </w:rPr>
        <w:t>Vercel (Plataforma de Despliegue Cloud):</w:t>
      </w:r>
      <w:r w:rsidRPr="00CA5C5C">
        <w:rPr>
          <w:rFonts w:asciiTheme="majorHAnsi" w:hAnsiTheme="majorHAnsi" w:cstheme="majorHAnsi"/>
        </w:rPr>
        <w:t xml:space="preserve"> Vercel proporciona capacidades de despliegue global en el borde (edge network), lo que puede contribuir al objetivo de cargas inferiores a 2 segundos, sujeto a pruebas de rendimiento en cumplimiento con los criterios de éxito estipulados.</w:t>
      </w:r>
    </w:p>
    <w:p w14:paraId="1CC4DC6D" w14:textId="77777777" w:rsidR="005C404C" w:rsidRPr="00CA5C5C" w:rsidRDefault="00000000">
      <w:pPr>
        <w:spacing w:after="120"/>
        <w:ind w:left="397" w:hanging="238"/>
        <w:rPr>
          <w:rFonts w:asciiTheme="majorHAnsi" w:hAnsiTheme="majorHAnsi" w:cstheme="majorHAnsi"/>
        </w:rPr>
      </w:pPr>
      <w:r w:rsidRPr="00CA5C5C">
        <w:rPr>
          <w:rFonts w:asciiTheme="majorHAnsi" w:hAnsiTheme="majorHAnsi" w:cstheme="majorHAnsi"/>
          <w:b/>
          <w:color w:val="1C385B"/>
        </w:rPr>
        <w:t xml:space="preserve">•  Neon Object Storage (evidencias, solución prevista): </w:t>
      </w:r>
      <w:r w:rsidRPr="00CA5C5C">
        <w:rPr>
          <w:rFonts w:asciiTheme="majorHAnsi" w:hAnsiTheme="majorHAnsi" w:cstheme="majorHAnsi"/>
        </w:rPr>
        <w:t>Se contempla almacenar fotografías y archivos de las visitas en almacenamiento de objetos y conservar en PostgreSQL las referencias y metadatos asociados. Esta decisión complementa los diagramas originales, que ilustran la persistencia transaccional en PostgreSQL.</w:t>
      </w:r>
    </w:p>
    <w:p w14:paraId="4748FC0B" w14:textId="77777777" w:rsidR="005C404C" w:rsidRDefault="00000000">
      <w:pPr>
        <w:pStyle w:val="Ttulo2"/>
      </w:pPr>
      <w:r>
        <w:t>4.2 Respuestas ante las restricciones técnicas del proyecto</w:t>
      </w:r>
    </w:p>
    <w:p w14:paraId="55F9FF8C"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El diseño arquitectónico aborda de manera explícita cada una de las restricciones declaradas en el Acta de Constitución:</w:t>
      </w:r>
    </w:p>
    <w:tbl>
      <w:tblPr>
        <w:tblW w:w="0" w:type="auto"/>
        <w:jc w:val="center"/>
        <w:tblLayout w:type="fixed"/>
        <w:tblLook w:val="04A0" w:firstRow="1" w:lastRow="0" w:firstColumn="1" w:lastColumn="0" w:noHBand="0" w:noVBand="1"/>
      </w:tblPr>
      <w:tblGrid>
        <w:gridCol w:w="2466"/>
        <w:gridCol w:w="2409"/>
        <w:gridCol w:w="3912"/>
      </w:tblGrid>
      <w:tr w:rsidR="005C404C" w:rsidRPr="00CA5C5C" w14:paraId="22F3F9C4" w14:textId="77777777">
        <w:trPr>
          <w:cantSplit/>
          <w:tblHeader/>
          <w:jc w:val="center"/>
        </w:trPr>
        <w:tc>
          <w:tcPr>
            <w:tcW w:w="2466"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72CD779F"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color w:val="FFFFFF"/>
                <w:szCs w:val="28"/>
              </w:rPr>
              <w:t>Restricción Documentada en el Acta</w:t>
            </w:r>
          </w:p>
        </w:tc>
        <w:tc>
          <w:tcPr>
            <w:tcW w:w="2409"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4F72FFD4"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color w:val="FFFFFF"/>
                <w:szCs w:val="28"/>
              </w:rPr>
              <w:t>Impacto en el Sistema</w:t>
            </w:r>
          </w:p>
        </w:tc>
        <w:tc>
          <w:tcPr>
            <w:tcW w:w="3912" w:type="dxa"/>
            <w:tcBorders>
              <w:top w:val="single" w:sz="4" w:space="0" w:color="B9CDDA"/>
              <w:left w:val="single" w:sz="4" w:space="0" w:color="B9CDDA"/>
              <w:bottom w:val="single" w:sz="4" w:space="0" w:color="B9CDDA"/>
              <w:right w:val="single" w:sz="4" w:space="0" w:color="B9CDDA"/>
            </w:tcBorders>
            <w:shd w:val="clear" w:color="auto" w:fill="1C385B"/>
            <w:tcMar>
              <w:top w:w="80" w:type="dxa"/>
              <w:left w:w="80" w:type="dxa"/>
              <w:bottom w:w="80" w:type="dxa"/>
              <w:right w:w="80" w:type="dxa"/>
            </w:tcMar>
            <w:vAlign w:val="center"/>
          </w:tcPr>
          <w:p w14:paraId="09CD459B"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color w:val="FFFFFF"/>
                <w:szCs w:val="28"/>
              </w:rPr>
              <w:t>Solución y Decisión de Diseño Arquitectónico Adoptada</w:t>
            </w:r>
          </w:p>
        </w:tc>
      </w:tr>
      <w:tr w:rsidR="005C404C" w:rsidRPr="00CA5C5C" w14:paraId="2E91D213" w14:textId="77777777">
        <w:trPr>
          <w:cantSplit/>
          <w:jc w:val="center"/>
        </w:trPr>
        <w:tc>
          <w:tcPr>
            <w:tcW w:w="2466"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4C19F5C"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szCs w:val="28"/>
              </w:rPr>
              <w:t>Planificación incremental y flexible mediante Kanban (Notion).</w:t>
            </w:r>
          </w:p>
        </w:tc>
        <w:tc>
          <w:tcPr>
            <w:tcW w:w="2409"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130B4705"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Necesidad de coordinar tareas y entregas sin sprints formales.</w:t>
            </w:r>
          </w:p>
        </w:tc>
        <w:tc>
          <w:tcPr>
            <w:tcW w:w="391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32B03FF1"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Monolito modular con FastAPI y componentes React reutilizables. El tablero Kanban permite priorizar tareas y visualizar el avance; se evitan microservicios innecesarios.</w:t>
            </w:r>
          </w:p>
        </w:tc>
      </w:tr>
      <w:tr w:rsidR="005C404C" w:rsidRPr="00CA5C5C" w14:paraId="53087461" w14:textId="77777777">
        <w:trPr>
          <w:cantSplit/>
          <w:jc w:val="center"/>
        </w:trPr>
        <w:tc>
          <w:tcPr>
            <w:tcW w:w="2466"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2B34EE5B"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szCs w:val="28"/>
              </w:rPr>
              <w:t>Disponibilidad parcial de los integrantes del equipo.</w:t>
            </w:r>
          </w:p>
        </w:tc>
        <w:tc>
          <w:tcPr>
            <w:tcW w:w="2409"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28A8EF87"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Riesgo de desfase temporal y asincronía en el avance de las tareas de desarrollo.</w:t>
            </w:r>
          </w:p>
        </w:tc>
        <w:tc>
          <w:tcPr>
            <w:tcW w:w="391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73F9D90B"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Definición temprana y estricta de contratos de interfaz API REST (OpenAPI). Los desarrolladores frontend pueden trabajar mockeando servicios mientras el backend avanza en la lógica de negocio, reduciendo bloqueos mutuos</w:t>
            </w:r>
          </w:p>
        </w:tc>
      </w:tr>
      <w:tr w:rsidR="005C404C" w:rsidRPr="00CA5C5C" w14:paraId="4085D9C2" w14:textId="77777777">
        <w:trPr>
          <w:cantSplit/>
          <w:jc w:val="center"/>
        </w:trPr>
        <w:tc>
          <w:tcPr>
            <w:tcW w:w="2466"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66590F9"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szCs w:val="28"/>
              </w:rPr>
              <w:t>Dependencia de cuotas gratuitas (Tier Hobby/Free) en Vercel y Neon.</w:t>
            </w:r>
          </w:p>
        </w:tc>
        <w:tc>
          <w:tcPr>
            <w:tcW w:w="2409"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1774ADF"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Limitación en concurrencia de conexiones a la base de datos, ancho de banda mensual y espacio de almacenamiento</w:t>
            </w:r>
          </w:p>
        </w:tc>
        <w:tc>
          <w:tcPr>
            <w:tcW w:w="391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587FF925"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Optimización de consultas SQL y Connection Pooling. Se contempla un cierre oportuno de sesiones de base de datos para no saturar las conexiones permitidas en el plan gratuito. En el frontend, se comprime el peso de evidencias fotográficas antes de transmitirlas, resguardando la cuota de red y almacenamiento en nube</w:t>
            </w:r>
          </w:p>
        </w:tc>
      </w:tr>
      <w:tr w:rsidR="005C404C" w:rsidRPr="00CA5C5C" w14:paraId="1FA486EC" w14:textId="77777777">
        <w:trPr>
          <w:cantSplit/>
          <w:jc w:val="center"/>
        </w:trPr>
        <w:tc>
          <w:tcPr>
            <w:tcW w:w="2466"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69FFBA32"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szCs w:val="28"/>
              </w:rPr>
              <w:lastRenderedPageBreak/>
              <w:t>Exclusión de GPS segundo a segundo y ruteo de flotas</w:t>
            </w:r>
          </w:p>
        </w:tc>
        <w:tc>
          <w:tcPr>
            <w:tcW w:w="2409"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1296FE63"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No se dispone de posicionamiento continuo ni motores de optimización logística vehicular.</w:t>
            </w:r>
          </w:p>
        </w:tc>
        <w:tc>
          <w:tcPr>
            <w:tcW w:w="3912" w:type="dxa"/>
            <w:tcBorders>
              <w:top w:val="single" w:sz="4" w:space="0" w:color="B9CDDA"/>
              <w:left w:val="single" w:sz="4" w:space="0" w:color="B9CDDA"/>
              <w:bottom w:val="single" w:sz="4" w:space="0" w:color="B9CDDA"/>
              <w:right w:val="single" w:sz="4" w:space="0" w:color="B9CDDA"/>
            </w:tcBorders>
            <w:tcMar>
              <w:top w:w="80" w:type="dxa"/>
              <w:left w:w="80" w:type="dxa"/>
              <w:bottom w:w="80" w:type="dxa"/>
              <w:right w:w="80" w:type="dxa"/>
            </w:tcMar>
          </w:tcPr>
          <w:p w14:paraId="45A9D6DC"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Arquitectura basada en Hitos de Estado Operativo. La trazabilidad no depende de telemetría geoespacial en streaming, sino de cambios de estado explícitos (En Camino, En Sitio, Finalizado) reportados por el técnico en la PWA y registrados con estampas de tiempo en PostgreSQL.</w:t>
            </w:r>
          </w:p>
        </w:tc>
      </w:tr>
      <w:tr w:rsidR="005C404C" w:rsidRPr="00CA5C5C" w14:paraId="3F41DC5B" w14:textId="77777777">
        <w:trPr>
          <w:cantSplit/>
          <w:jc w:val="center"/>
        </w:trPr>
        <w:tc>
          <w:tcPr>
            <w:tcW w:w="2466"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05D8CCC7"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b/>
                <w:szCs w:val="28"/>
              </w:rPr>
              <w:t>Intermitencia de conectividad en terreno.</w:t>
            </w:r>
          </w:p>
        </w:tc>
        <w:tc>
          <w:tcPr>
            <w:tcW w:w="2409"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693494E1"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El técnico puede llegar a zonas sin cobertura de datos móviles donde se debe realizar el soporte.</w:t>
            </w:r>
          </w:p>
        </w:tc>
        <w:tc>
          <w:tcPr>
            <w:tcW w:w="3912" w:type="dxa"/>
            <w:tcBorders>
              <w:top w:val="single" w:sz="4" w:space="0" w:color="B9CDDA"/>
              <w:left w:val="single" w:sz="4" w:space="0" w:color="B9CDDA"/>
              <w:bottom w:val="single" w:sz="4" w:space="0" w:color="B9CDDA"/>
              <w:right w:val="single" w:sz="4" w:space="0" w:color="B9CDDA"/>
            </w:tcBorders>
            <w:shd w:val="clear" w:color="auto" w:fill="F1F7FB"/>
            <w:tcMar>
              <w:top w:w="80" w:type="dxa"/>
              <w:left w:w="80" w:type="dxa"/>
              <w:bottom w:w="80" w:type="dxa"/>
              <w:right w:w="80" w:type="dxa"/>
            </w:tcMar>
          </w:tcPr>
          <w:p w14:paraId="21406A7C" w14:textId="77777777" w:rsidR="005C404C" w:rsidRPr="00CA5C5C" w:rsidRDefault="00000000">
            <w:pPr>
              <w:spacing w:after="0" w:line="245" w:lineRule="auto"/>
              <w:rPr>
                <w:rFonts w:asciiTheme="majorHAnsi" w:hAnsiTheme="majorHAnsi" w:cstheme="majorHAnsi"/>
                <w:szCs w:val="28"/>
              </w:rPr>
            </w:pPr>
            <w:r w:rsidRPr="00CA5C5C">
              <w:rPr>
                <w:rFonts w:asciiTheme="majorHAnsi" w:hAnsiTheme="majorHAnsi" w:cstheme="majorHAnsi"/>
                <w:szCs w:val="28"/>
              </w:rPr>
              <w:t>PWA con Service Workers y persistencia en IndexedDB. La arquitectura asume un enfoque offline-first en la captura de evidencias y checklists, desacoplando la ejecución del trabajo presencial de la disponibilidad inmediata de red.</w:t>
            </w:r>
          </w:p>
        </w:tc>
      </w:tr>
    </w:tbl>
    <w:p w14:paraId="5CAF6992" w14:textId="77777777" w:rsidR="005C404C" w:rsidRDefault="005C404C">
      <w:pPr>
        <w:spacing w:after="20"/>
      </w:pPr>
    </w:p>
    <w:p w14:paraId="5071F010" w14:textId="77777777" w:rsidR="005C404C" w:rsidRDefault="00000000">
      <w:pPr>
        <w:pStyle w:val="Ttulo1"/>
        <w:pBdr>
          <w:bottom w:val="single" w:sz="13" w:space="4" w:color="E59438"/>
        </w:pBdr>
      </w:pPr>
      <w:r>
        <w:t>5. CONCLUSIÓN DEL DOCUMENTO DE ARQUITECTURA</w:t>
      </w:r>
    </w:p>
    <w:p w14:paraId="3E13707A"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La arquitectura de software diseñada para la plataforma ATLAS se orienta a los requerimientos de modernización, registro y trazabilidad del caso de uso asociado a ENTEL para el soporte técnico en terreno. Mediante la conjunción de un backend modular en FastAPI, una base de datos relacional centralizada en PostgreSQL (Neon), interfaces ligeras en React y capacidades de resiliencia desconectada en la PWA, la solución permite abordar las limitaciones de infraestructura en la nube y los desafíos de conectividad en terreno.</w:t>
      </w:r>
    </w:p>
    <w:p w14:paraId="0ACEC9EC" w14:textId="77777777" w:rsidR="005C404C" w:rsidRPr="00CA5C5C" w:rsidRDefault="00000000">
      <w:pPr>
        <w:spacing w:after="120"/>
        <w:rPr>
          <w:rFonts w:asciiTheme="majorHAnsi" w:hAnsiTheme="majorHAnsi" w:cstheme="majorHAnsi"/>
        </w:rPr>
      </w:pPr>
      <w:r w:rsidRPr="00CA5C5C">
        <w:rPr>
          <w:rFonts w:asciiTheme="majorHAnsi" w:hAnsiTheme="majorHAnsi" w:cstheme="majorHAnsi"/>
        </w:rPr>
        <w:t>Esta estructura desacoplada y eficiente busca facilitar un flujo de información trazable para la coordinación, continuidad operativa para los técnicos y certidumbre formal para los clientes, y proporciona una base técnica para la integración y validación del MVP.</w:t>
      </w:r>
    </w:p>
    <w:sectPr w:rsidR="005C404C" w:rsidRPr="00CA5C5C" w:rsidSect="00B32F38">
      <w:headerReference w:type="default" r:id="rId10"/>
      <w:footerReference w:type="default" r:id="rId11"/>
      <w:headerReference w:type="first" r:id="rId12"/>
      <w:footerReference w:type="first" r:id="rId13"/>
      <w:pgSz w:w="12240" w:h="15840"/>
      <w:pgMar w:top="1429" w:right="1406" w:bottom="1247" w:left="1406" w:header="68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258D" w14:textId="77777777" w:rsidR="00B87E2A" w:rsidRDefault="00B87E2A" w:rsidP="004C5B25">
      <w:pPr>
        <w:spacing w:after="0" w:line="240" w:lineRule="auto"/>
      </w:pPr>
      <w:r>
        <w:separator/>
      </w:r>
    </w:p>
  </w:endnote>
  <w:endnote w:type="continuationSeparator" w:id="0">
    <w:p w14:paraId="5BC23222" w14:textId="77777777" w:rsidR="00B87E2A" w:rsidRDefault="00B87E2A" w:rsidP="004C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1C79B" w14:textId="77777777" w:rsidR="007D3AC3" w:rsidRPr="00CA5C5C" w:rsidRDefault="00000000">
    <w:pPr>
      <w:tabs>
        <w:tab w:val="center" w:pos="4649"/>
      </w:tabs>
      <w:spacing w:after="0" w:line="240" w:lineRule="auto"/>
      <w:rPr>
        <w:rFonts w:asciiTheme="majorHAnsi" w:hAnsiTheme="majorHAnsi" w:cstheme="majorHAnsi"/>
      </w:rPr>
    </w:pPr>
    <w:proofErr w:type="gramStart"/>
    <w:r w:rsidRPr="00CA5C5C">
      <w:rPr>
        <w:rFonts w:asciiTheme="majorHAnsi" w:hAnsiTheme="majorHAnsi" w:cstheme="majorHAnsi"/>
        <w:b/>
        <w:color w:val="2F5496"/>
        <w:sz w:val="19"/>
      </w:rPr>
      <w:t>ATLAS</w:t>
    </w:r>
    <w:r w:rsidRPr="00CA5C5C">
      <w:rPr>
        <w:rFonts w:asciiTheme="majorHAnsi" w:hAnsiTheme="majorHAnsi" w:cstheme="majorHAnsi"/>
        <w:color w:val="2F5496"/>
        <w:sz w:val="18"/>
      </w:rPr>
      <w:t xml:space="preserve">  |</w:t>
    </w:r>
    <w:proofErr w:type="gramEnd"/>
    <w:r w:rsidRPr="00CA5C5C">
      <w:rPr>
        <w:rFonts w:asciiTheme="majorHAnsi" w:hAnsiTheme="majorHAnsi" w:cstheme="majorHAnsi"/>
        <w:color w:val="2F5496"/>
        <w:sz w:val="18"/>
      </w:rPr>
      <w:t xml:space="preserve">  Arquitectura de software</w:t>
    </w:r>
    <w:r w:rsidRPr="00CA5C5C">
      <w:rPr>
        <w:rFonts w:asciiTheme="majorHAnsi" w:hAnsiTheme="majorHAnsi" w:cstheme="majorHAnsi"/>
        <w:color w:val="2F5496"/>
        <w:sz w:val="18"/>
      </w:rPr>
      <w:tab/>
    </w:r>
    <w:r w:rsidRPr="00CA5C5C">
      <w:rPr>
        <w:rFonts w:asciiTheme="majorHAnsi" w:hAnsiTheme="majorHAnsi" w:cstheme="majorHAnsi"/>
      </w:rPr>
      <w:fldChar w:fldCharType="begin"/>
    </w:r>
    <w:r w:rsidRPr="00CA5C5C">
      <w:rPr>
        <w:rFonts w:asciiTheme="majorHAnsi" w:hAnsiTheme="majorHAnsi" w:cstheme="majorHAnsi"/>
      </w:rPr>
      <w:instrText>PAGE</w:instrText>
    </w:r>
    <w:r w:rsidRPr="00CA5C5C">
      <w:rPr>
        <w:rFonts w:asciiTheme="majorHAnsi" w:hAnsiTheme="majorHAnsi" w:cstheme="majorHAnsi"/>
      </w:rPr>
      <w:fldChar w:fldCharType="separate"/>
    </w:r>
    <w:r w:rsidR="00491232" w:rsidRPr="00CA5C5C">
      <w:rPr>
        <w:rFonts w:asciiTheme="majorHAnsi" w:hAnsiTheme="majorHAnsi" w:cstheme="majorHAnsi"/>
        <w:noProof/>
      </w:rPr>
      <w:t>2</w:t>
    </w:r>
    <w:r w:rsidRPr="00CA5C5C">
      <w:rPr>
        <w:rFonts w:asciiTheme="majorHAnsi" w:hAnsiTheme="majorHAnsi" w:cstheme="maj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87570"/>
      <w:docPartObj>
        <w:docPartGallery w:val="Page Numbers (Bottom of Page)"/>
        <w:docPartUnique/>
      </w:docPartObj>
    </w:sdtPr>
    <w:sdtContent>
      <w:p w14:paraId="19853242" w14:textId="77777777" w:rsidR="00B155B5" w:rsidRDefault="00B155B5">
        <w:pPr>
          <w:pStyle w:val="Piedepgina"/>
          <w:jc w:val="center"/>
        </w:pPr>
        <w:r>
          <w:t>1</w:t>
        </w:r>
      </w:p>
    </w:sdtContent>
  </w:sdt>
  <w:p w14:paraId="25E5C859" w14:textId="77777777" w:rsidR="00B155B5" w:rsidRDefault="00B155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090C6" w14:textId="77777777" w:rsidR="00B87E2A" w:rsidRDefault="00B87E2A" w:rsidP="004C5B25">
      <w:pPr>
        <w:spacing w:after="0" w:line="240" w:lineRule="auto"/>
      </w:pPr>
      <w:r>
        <w:separator/>
      </w:r>
    </w:p>
  </w:footnote>
  <w:footnote w:type="continuationSeparator" w:id="0">
    <w:p w14:paraId="6FC97407" w14:textId="77777777" w:rsidR="00B87E2A" w:rsidRDefault="00B87E2A" w:rsidP="004C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54F2" w14:textId="77777777" w:rsidR="00B155B5" w:rsidRDefault="00CF7E09">
    <w:pPr>
      <w:pStyle w:val="Encabezado"/>
    </w:pPr>
    <w:r>
      <w:rPr>
        <w:noProof/>
        <w:color w:val="4472C4" w:themeColor="accent1"/>
        <w:sz w:val="28"/>
        <w:szCs w:val="28"/>
      </w:rPr>
      <mc:AlternateContent>
        <mc:Choice Requires="wps">
          <w:drawing>
            <wp:anchor distT="0" distB="0" distL="114300" distR="114300" simplePos="0" relativeHeight="251662336" behindDoc="0" locked="0" layoutInCell="1" allowOverlap="1" wp14:anchorId="24D57599" wp14:editId="2C0D304C">
              <wp:simplePos x="0" y="0"/>
              <wp:positionH relativeFrom="leftMargin">
                <wp:posOffset>363855</wp:posOffset>
              </wp:positionH>
              <wp:positionV relativeFrom="paragraph">
                <wp:posOffset>-325120</wp:posOffset>
              </wp:positionV>
              <wp:extent cx="723900" cy="3810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23900" cy="381000"/>
                      </a:xfrm>
                      <a:prstGeom prst="rect">
                        <a:avLst/>
                      </a:prstGeom>
                      <a:noFill/>
                      <a:ln w="6350">
                        <a:noFill/>
                      </a:ln>
                    </wps:spPr>
                    <wps:txbx>
                      <w:txbxContent>
                        <w:p w14:paraId="411FD461" w14:textId="77777777" w:rsidR="00B32F38" w:rsidRDefault="00B32F38" w:rsidP="00B32F38">
                          <w:pPr>
                            <w:pStyle w:val="Ttulo2"/>
                          </w:pPr>
                          <w:r>
                            <w:t>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D57599" id="_x0000_t202" coordsize="21600,21600" o:spt="202" path="m,l,21600r21600,l21600,xe">
              <v:stroke joinstyle="miter"/>
              <v:path gradientshapeok="t" o:connecttype="rect"/>
            </v:shapetype>
            <v:shape id="Cuadro de texto 4" o:spid="_x0000_s1028" type="#_x0000_t202" style="position:absolute;margin-left:28.65pt;margin-top:-25.6pt;width:57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" filled="f" stroked="f" strokeweight=".5pt">
              <v:textbox>
                <w:txbxContent>
                  <w:p w14:paraId="411FD461" w14:textId="77777777" w:rsidR="00B32F38" w:rsidRDefault="00B32F38" w:rsidP="00B32F38">
                    <w:pPr>
                      <w:pStyle w:val="Ttulo2"/>
                    </w:pPr>
                    <w:r>
                      <w:t>ATLAS</w:t>
                    </w:r>
                  </w:p>
                </w:txbxContent>
              </v:textbox>
              <w10:wrap anchorx="margin"/>
            </v:shape>
          </w:pict>
        </mc:Fallback>
      </mc:AlternateContent>
    </w:r>
    <w:r w:rsidR="00B32F38">
      <w:rPr>
        <w:noProof/>
        <w:color w:val="4472C4" w:themeColor="accent1"/>
        <w:sz w:val="28"/>
        <w:szCs w:val="28"/>
      </w:rPr>
      <mc:AlternateContent>
        <mc:Choice Requires="wps">
          <w:drawing>
            <wp:anchor distT="0" distB="0" distL="114300" distR="114300" simplePos="0" relativeHeight="251663360" behindDoc="0" locked="0" layoutInCell="1" allowOverlap="1" wp14:anchorId="1102928D" wp14:editId="2ABCF4E1">
              <wp:simplePos x="0" y="0"/>
              <wp:positionH relativeFrom="column">
                <wp:posOffset>-721995</wp:posOffset>
              </wp:positionH>
              <wp:positionV relativeFrom="paragraph">
                <wp:posOffset>-43180</wp:posOffset>
              </wp:positionV>
              <wp:extent cx="4297680" cy="2667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52477B29"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2928D" id="Cuadro de texto 11" o:spid="_x0000_s1029" type="#_x0000_t202" style="position:absolute;margin-left:-56.85pt;margin-top:-3.4pt;width:338.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" filled="f" stroked="f" strokeweight=".5pt">
              <v:textbox>
                <w:txbxContent>
                  <w:p w14:paraId="52477B29"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v:textbox>
            </v:shape>
          </w:pict>
        </mc:Fallback>
      </mc:AlternateContent>
    </w:r>
    <w:r w:rsidR="00B155B5" w:rsidRPr="00B32F38">
      <w:rPr>
        <w:noProof/>
        <w:color w:val="1F3864" w:themeColor="accent1" w:themeShade="80"/>
        <w:sz w:val="28"/>
        <w:szCs w:val="28"/>
      </w:rPr>
      <w:drawing>
        <wp:anchor distT="0" distB="0" distL="114300" distR="114300" simplePos="0" relativeHeight="251661312" behindDoc="1" locked="0" layoutInCell="1" allowOverlap="1" wp14:anchorId="2E0B246C" wp14:editId="7C80FE0D">
          <wp:simplePos x="0" y="0"/>
          <wp:positionH relativeFrom="page">
            <wp:align>right</wp:align>
          </wp:positionH>
          <wp:positionV relativeFrom="paragraph">
            <wp:posOffset>-449579</wp:posOffset>
          </wp:positionV>
          <wp:extent cx="2384187" cy="586740"/>
          <wp:effectExtent l="0" t="0" r="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187"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B13EE" w14:textId="77777777" w:rsidR="004C5B25" w:rsidRDefault="004C5B25" w:rsidP="00B155B5">
    <w:pPr>
      <w:pStyle w:val="Encabezado"/>
      <w:tabs>
        <w:tab w:val="clear" w:pos="4419"/>
        <w:tab w:val="clear" w:pos="8838"/>
        <w:tab w:val="left" w:pos="6168"/>
      </w:tabs>
    </w:pPr>
    <w:r>
      <w:rPr>
        <w:noProof/>
      </w:rPr>
      <w:drawing>
        <wp:anchor distT="0" distB="0" distL="114300" distR="114300" simplePos="0" relativeHeight="251659264" behindDoc="1" locked="0" layoutInCell="1" allowOverlap="1" wp14:anchorId="7B9F291D" wp14:editId="23F9290F">
          <wp:simplePos x="0" y="0"/>
          <wp:positionH relativeFrom="column">
            <wp:posOffset>3859307</wp:posOffset>
          </wp:positionH>
          <wp:positionV relativeFrom="paragraph">
            <wp:posOffset>-457200</wp:posOffset>
          </wp:positionV>
          <wp:extent cx="2724787" cy="6705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627" cy="671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5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B14"/>
    <w:multiLevelType w:val="multilevel"/>
    <w:tmpl w:val="4E4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305F"/>
    <w:multiLevelType w:val="multilevel"/>
    <w:tmpl w:val="60EA8E7A"/>
    <w:lvl w:ilvl="0">
      <w:start w:val="1"/>
      <w:numFmt w:val="decimal"/>
      <w:lvlText w:val="%1."/>
      <w:lvlJc w:val="left"/>
      <w:pPr>
        <w:ind w:left="468" w:hanging="468"/>
      </w:pPr>
      <w:rPr>
        <w:rFonts w:hint="default"/>
      </w:rPr>
    </w:lvl>
    <w:lvl w:ilvl="1">
      <w:start w:val="2"/>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7416EF2"/>
    <w:multiLevelType w:val="multilevel"/>
    <w:tmpl w:val="F33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00F1"/>
    <w:multiLevelType w:val="multilevel"/>
    <w:tmpl w:val="7E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26FE4"/>
    <w:multiLevelType w:val="hybridMultilevel"/>
    <w:tmpl w:val="80D00E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BC5C3A"/>
    <w:multiLevelType w:val="hybridMultilevel"/>
    <w:tmpl w:val="CD6427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180644"/>
    <w:multiLevelType w:val="hybridMultilevel"/>
    <w:tmpl w:val="451CA7B0"/>
    <w:lvl w:ilvl="0" w:tplc="770A47CC">
      <w:start w:val="1"/>
      <w:numFmt w:val="bullet"/>
      <w:lvlText w:val=""/>
      <w:lvlJc w:val="left"/>
      <w:pPr>
        <w:ind w:left="360" w:hanging="360"/>
      </w:pPr>
      <w:rPr>
        <w:rFonts w:ascii="Symbol" w:hAnsi="Symbol" w:hint="default"/>
        <w:color w:val="2F5496" w:themeColor="accent1" w:themeShade="BF"/>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25ED1E08"/>
    <w:multiLevelType w:val="multilevel"/>
    <w:tmpl w:val="8C8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1E53"/>
    <w:multiLevelType w:val="multilevel"/>
    <w:tmpl w:val="1BF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A6411"/>
    <w:multiLevelType w:val="hybridMultilevel"/>
    <w:tmpl w:val="460ED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5370A0"/>
    <w:multiLevelType w:val="multilevel"/>
    <w:tmpl w:val="07E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278A7"/>
    <w:multiLevelType w:val="multilevel"/>
    <w:tmpl w:val="BC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A5F36"/>
    <w:multiLevelType w:val="hybridMultilevel"/>
    <w:tmpl w:val="DC228E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CCF73FD"/>
    <w:multiLevelType w:val="multilevel"/>
    <w:tmpl w:val="DD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65343"/>
    <w:multiLevelType w:val="multilevel"/>
    <w:tmpl w:val="F8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87B90"/>
    <w:multiLevelType w:val="hybridMultilevel"/>
    <w:tmpl w:val="3E3860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68F00DE2"/>
    <w:multiLevelType w:val="multilevel"/>
    <w:tmpl w:val="A02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F40D75"/>
    <w:multiLevelType w:val="hybridMultilevel"/>
    <w:tmpl w:val="EF6C9E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75AC10A4"/>
    <w:multiLevelType w:val="multilevel"/>
    <w:tmpl w:val="365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C083F"/>
    <w:multiLevelType w:val="multilevel"/>
    <w:tmpl w:val="24C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24959"/>
    <w:multiLevelType w:val="hybridMultilevel"/>
    <w:tmpl w:val="514C36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B95578A"/>
    <w:multiLevelType w:val="hybridMultilevel"/>
    <w:tmpl w:val="997CA350"/>
    <w:lvl w:ilvl="0" w:tplc="E3E8BD84">
      <w:start w:val="1"/>
      <w:numFmt w:val="bullet"/>
      <w:lvlText w:val=""/>
      <w:lvlJc w:val="left"/>
      <w:pPr>
        <w:ind w:left="360" w:hanging="360"/>
      </w:pPr>
      <w:rPr>
        <w:rFonts w:ascii="Symbol" w:hAnsi="Symbol" w:hint="default"/>
        <w:sz w:val="22"/>
        <w:szCs w:val="22"/>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7C2F5EB9"/>
    <w:multiLevelType w:val="hybridMultilevel"/>
    <w:tmpl w:val="C1AA4150"/>
    <w:lvl w:ilvl="0" w:tplc="25A0EE40">
      <w:start w:val="1"/>
      <w:numFmt w:val="bullet"/>
      <w:lvlText w:val=""/>
      <w:lvlJc w:val="left"/>
      <w:pPr>
        <w:ind w:left="360" w:hanging="360"/>
      </w:pPr>
      <w:rPr>
        <w:rFonts w:ascii="Symbol" w:hAnsi="Symbol" w:hint="default"/>
        <w:color w:val="2F5496" w:themeColor="accent1" w:themeShade="BF"/>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7E236536"/>
    <w:multiLevelType w:val="multilevel"/>
    <w:tmpl w:val="27E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968547">
    <w:abstractNumId w:val="3"/>
  </w:num>
  <w:num w:numId="2" w16cid:durableId="399523403">
    <w:abstractNumId w:val="9"/>
  </w:num>
  <w:num w:numId="3" w16cid:durableId="1861696066">
    <w:abstractNumId w:val="14"/>
  </w:num>
  <w:num w:numId="4" w16cid:durableId="44449639">
    <w:abstractNumId w:val="8"/>
  </w:num>
  <w:num w:numId="5" w16cid:durableId="1916697133">
    <w:abstractNumId w:val="4"/>
  </w:num>
  <w:num w:numId="6" w16cid:durableId="298845427">
    <w:abstractNumId w:val="16"/>
  </w:num>
  <w:num w:numId="7" w16cid:durableId="433139379">
    <w:abstractNumId w:val="12"/>
  </w:num>
  <w:num w:numId="8" w16cid:durableId="1153906791">
    <w:abstractNumId w:val="19"/>
  </w:num>
  <w:num w:numId="9" w16cid:durableId="813184901">
    <w:abstractNumId w:val="11"/>
  </w:num>
  <w:num w:numId="10" w16cid:durableId="1694989898">
    <w:abstractNumId w:val="0"/>
  </w:num>
  <w:num w:numId="11" w16cid:durableId="1437481902">
    <w:abstractNumId w:val="13"/>
  </w:num>
  <w:num w:numId="12" w16cid:durableId="260377070">
    <w:abstractNumId w:val="7"/>
  </w:num>
  <w:num w:numId="13" w16cid:durableId="1691371789">
    <w:abstractNumId w:val="10"/>
  </w:num>
  <w:num w:numId="14" w16cid:durableId="1095515670">
    <w:abstractNumId w:val="23"/>
  </w:num>
  <w:num w:numId="15" w16cid:durableId="781609497">
    <w:abstractNumId w:val="18"/>
  </w:num>
  <w:num w:numId="16" w16cid:durableId="328749896">
    <w:abstractNumId w:val="2"/>
  </w:num>
  <w:num w:numId="17" w16cid:durableId="783158451">
    <w:abstractNumId w:val="20"/>
  </w:num>
  <w:num w:numId="18" w16cid:durableId="665287010">
    <w:abstractNumId w:val="5"/>
  </w:num>
  <w:num w:numId="19" w16cid:durableId="823930392">
    <w:abstractNumId w:val="15"/>
  </w:num>
  <w:num w:numId="20" w16cid:durableId="1489713742">
    <w:abstractNumId w:val="17"/>
  </w:num>
  <w:num w:numId="21" w16cid:durableId="1395274440">
    <w:abstractNumId w:val="21"/>
  </w:num>
  <w:num w:numId="22" w16cid:durableId="1433549699">
    <w:abstractNumId w:val="6"/>
  </w:num>
  <w:num w:numId="23" w16cid:durableId="2095861577">
    <w:abstractNumId w:val="22"/>
  </w:num>
  <w:num w:numId="24" w16cid:durableId="1657412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25"/>
    <w:rsid w:val="0001075D"/>
    <w:rsid w:val="00032754"/>
    <w:rsid w:val="000347FC"/>
    <w:rsid w:val="00041382"/>
    <w:rsid w:val="0005479F"/>
    <w:rsid w:val="00063932"/>
    <w:rsid w:val="00077A3D"/>
    <w:rsid w:val="0008521A"/>
    <w:rsid w:val="000954A0"/>
    <w:rsid w:val="000A278C"/>
    <w:rsid w:val="000A3882"/>
    <w:rsid w:val="000C52C7"/>
    <w:rsid w:val="000D6B92"/>
    <w:rsid w:val="001010E2"/>
    <w:rsid w:val="00157EEB"/>
    <w:rsid w:val="001F024D"/>
    <w:rsid w:val="001F135A"/>
    <w:rsid w:val="001F653B"/>
    <w:rsid w:val="00201F96"/>
    <w:rsid w:val="00241AA7"/>
    <w:rsid w:val="00247508"/>
    <w:rsid w:val="00250838"/>
    <w:rsid w:val="002675FB"/>
    <w:rsid w:val="00290659"/>
    <w:rsid w:val="002909E0"/>
    <w:rsid w:val="002B42CB"/>
    <w:rsid w:val="002B598A"/>
    <w:rsid w:val="002C1C8F"/>
    <w:rsid w:val="002C3F26"/>
    <w:rsid w:val="002C53C6"/>
    <w:rsid w:val="002F3199"/>
    <w:rsid w:val="00383418"/>
    <w:rsid w:val="00434ABE"/>
    <w:rsid w:val="00443A99"/>
    <w:rsid w:val="00443CF4"/>
    <w:rsid w:val="00484A6B"/>
    <w:rsid w:val="00491232"/>
    <w:rsid w:val="00496B8A"/>
    <w:rsid w:val="004A6CC6"/>
    <w:rsid w:val="004C5B25"/>
    <w:rsid w:val="004C7E66"/>
    <w:rsid w:val="004D3D1B"/>
    <w:rsid w:val="004F31D0"/>
    <w:rsid w:val="004F5EBF"/>
    <w:rsid w:val="005129F3"/>
    <w:rsid w:val="005312E0"/>
    <w:rsid w:val="00536632"/>
    <w:rsid w:val="005770C8"/>
    <w:rsid w:val="00597948"/>
    <w:rsid w:val="005B4743"/>
    <w:rsid w:val="005B6B1C"/>
    <w:rsid w:val="005C3BD8"/>
    <w:rsid w:val="005C404C"/>
    <w:rsid w:val="006170FD"/>
    <w:rsid w:val="00632C64"/>
    <w:rsid w:val="0067235C"/>
    <w:rsid w:val="006A3D57"/>
    <w:rsid w:val="006C1D94"/>
    <w:rsid w:val="0070139B"/>
    <w:rsid w:val="007037DA"/>
    <w:rsid w:val="00712BCE"/>
    <w:rsid w:val="00796C93"/>
    <w:rsid w:val="007C4377"/>
    <w:rsid w:val="007D195C"/>
    <w:rsid w:val="007D3AC3"/>
    <w:rsid w:val="007F1255"/>
    <w:rsid w:val="00817A74"/>
    <w:rsid w:val="00835CCA"/>
    <w:rsid w:val="0083665D"/>
    <w:rsid w:val="00874FB7"/>
    <w:rsid w:val="008C4E9A"/>
    <w:rsid w:val="008E3699"/>
    <w:rsid w:val="008E61DD"/>
    <w:rsid w:val="00917999"/>
    <w:rsid w:val="00922082"/>
    <w:rsid w:val="00924A1D"/>
    <w:rsid w:val="00927F88"/>
    <w:rsid w:val="0094479E"/>
    <w:rsid w:val="009A3E03"/>
    <w:rsid w:val="00A033B4"/>
    <w:rsid w:val="00A12071"/>
    <w:rsid w:val="00A1492A"/>
    <w:rsid w:val="00A43832"/>
    <w:rsid w:val="00A513C7"/>
    <w:rsid w:val="00A5224B"/>
    <w:rsid w:val="00A9016E"/>
    <w:rsid w:val="00A93804"/>
    <w:rsid w:val="00AD5F62"/>
    <w:rsid w:val="00AE4FBC"/>
    <w:rsid w:val="00B04F81"/>
    <w:rsid w:val="00B155B5"/>
    <w:rsid w:val="00B32F38"/>
    <w:rsid w:val="00B42982"/>
    <w:rsid w:val="00B619D0"/>
    <w:rsid w:val="00B668FD"/>
    <w:rsid w:val="00B84ABB"/>
    <w:rsid w:val="00B87E2A"/>
    <w:rsid w:val="00BC2D06"/>
    <w:rsid w:val="00BC7255"/>
    <w:rsid w:val="00BD14A7"/>
    <w:rsid w:val="00BF03E0"/>
    <w:rsid w:val="00C10974"/>
    <w:rsid w:val="00C372F3"/>
    <w:rsid w:val="00C72848"/>
    <w:rsid w:val="00C90240"/>
    <w:rsid w:val="00CA5C5C"/>
    <w:rsid w:val="00CD5374"/>
    <w:rsid w:val="00CF7E09"/>
    <w:rsid w:val="00D0547F"/>
    <w:rsid w:val="00D1203C"/>
    <w:rsid w:val="00D32AAB"/>
    <w:rsid w:val="00D3424E"/>
    <w:rsid w:val="00D6318F"/>
    <w:rsid w:val="00D837DE"/>
    <w:rsid w:val="00DE5725"/>
    <w:rsid w:val="00E1385D"/>
    <w:rsid w:val="00E53544"/>
    <w:rsid w:val="00E55440"/>
    <w:rsid w:val="00E620AD"/>
    <w:rsid w:val="00E83C5E"/>
    <w:rsid w:val="00E84999"/>
    <w:rsid w:val="00E91AD1"/>
    <w:rsid w:val="00E92B43"/>
    <w:rsid w:val="00E960D3"/>
    <w:rsid w:val="00EB54FE"/>
    <w:rsid w:val="00ED42AA"/>
    <w:rsid w:val="00F07A14"/>
    <w:rsid w:val="00F56CB8"/>
    <w:rsid w:val="00F8695E"/>
    <w:rsid w:val="00F944AF"/>
    <w:rsid w:val="00FA1A54"/>
    <w:rsid w:val="00FA2047"/>
    <w:rsid w:val="00FD5A45"/>
    <w:rsid w:val="00FE3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2A3F6"/>
  <w15:chartTrackingRefBased/>
  <w15:docId w15:val="{4818709A-3B2C-468C-897D-10C02C32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ascii="Cambria" w:hAnsi="Cambria"/>
      <w:color w:val="354760"/>
      <w:sz w:val="20"/>
    </w:rPr>
  </w:style>
  <w:style w:type="paragraph" w:styleId="Ttulo1">
    <w:name w:val="heading 1"/>
    <w:basedOn w:val="Normal"/>
    <w:next w:val="Normal"/>
    <w:link w:val="Ttulo1Car"/>
    <w:uiPriority w:val="9"/>
    <w:qFormat/>
    <w:rsid w:val="00CA5C5C"/>
    <w:pPr>
      <w:keepNext/>
      <w:keepLines/>
      <w:spacing w:before="280" w:after="80"/>
      <w:outlineLvl w:val="0"/>
    </w:pPr>
    <w:rPr>
      <w:rFonts w:asciiTheme="majorHAnsi" w:eastAsiaTheme="majorEastAsia" w:hAnsiTheme="majorHAnsi" w:cstheme="majorBidi"/>
      <w:b/>
      <w:color w:val="315681"/>
      <w:sz w:val="40"/>
      <w:szCs w:val="32"/>
    </w:rPr>
  </w:style>
  <w:style w:type="paragraph" w:styleId="Ttulo2">
    <w:name w:val="heading 2"/>
    <w:basedOn w:val="Normal"/>
    <w:next w:val="Normal"/>
    <w:link w:val="Ttulo2Car"/>
    <w:uiPriority w:val="9"/>
    <w:unhideWhenUsed/>
    <w:qFormat/>
    <w:rsid w:val="005B6B1C"/>
    <w:pPr>
      <w:keepNext/>
      <w:keepLines/>
      <w:spacing w:before="200" w:after="120"/>
      <w:outlineLvl w:val="1"/>
    </w:pPr>
    <w:rPr>
      <w:rFonts w:asciiTheme="majorHAnsi" w:eastAsiaTheme="majorEastAsia" w:hAnsiTheme="majorHAnsi" w:cstheme="majorBidi"/>
      <w:b/>
      <w:color w:val="315681"/>
      <w:sz w:val="24"/>
      <w:szCs w:val="26"/>
    </w:rPr>
  </w:style>
  <w:style w:type="paragraph" w:styleId="Ttulo3">
    <w:name w:val="heading 3"/>
    <w:basedOn w:val="Normal"/>
    <w:next w:val="Normal"/>
    <w:link w:val="Ttulo3Car"/>
    <w:uiPriority w:val="9"/>
    <w:semiHidden/>
    <w:unhideWhenUsed/>
    <w:qFormat/>
    <w:rsid w:val="004C5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0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C5C"/>
    <w:rPr>
      <w:rFonts w:asciiTheme="majorHAnsi" w:eastAsiaTheme="majorEastAsia" w:hAnsiTheme="majorHAnsi" w:cstheme="majorBidi"/>
      <w:b/>
      <w:color w:val="315681"/>
      <w:sz w:val="40"/>
      <w:szCs w:val="32"/>
    </w:rPr>
  </w:style>
  <w:style w:type="paragraph" w:styleId="Sinespaciado">
    <w:name w:val="No Spacing"/>
    <w:link w:val="SinespaciadoCar"/>
    <w:uiPriority w:val="1"/>
    <w:qFormat/>
    <w:rsid w:val="004C5B2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C5B25"/>
    <w:rPr>
      <w:rFonts w:eastAsiaTheme="minorEastAsia"/>
      <w:lang w:eastAsia="es-CL"/>
    </w:rPr>
  </w:style>
  <w:style w:type="paragraph" w:styleId="Encabezado">
    <w:name w:val="header"/>
    <w:basedOn w:val="Normal"/>
    <w:link w:val="EncabezadoCar"/>
    <w:uiPriority w:val="99"/>
    <w:unhideWhenUsed/>
    <w:rsid w:val="004C5B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B25"/>
  </w:style>
  <w:style w:type="paragraph" w:styleId="Piedepgina">
    <w:name w:val="footer"/>
    <w:basedOn w:val="Normal"/>
    <w:link w:val="PiedepginaCar"/>
    <w:uiPriority w:val="99"/>
    <w:unhideWhenUsed/>
    <w:rsid w:val="004C5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B25"/>
  </w:style>
  <w:style w:type="character" w:customStyle="1" w:styleId="Ttulo3Car">
    <w:name w:val="Título 3 Car"/>
    <w:basedOn w:val="Fuentedeprrafopredeter"/>
    <w:link w:val="Ttulo3"/>
    <w:uiPriority w:val="9"/>
    <w:semiHidden/>
    <w:rsid w:val="004C5B2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C5B25"/>
    <w:pPr>
      <w:spacing w:before="100" w:beforeAutospacing="1" w:afterAutospacing="1" w:line="240" w:lineRule="auto"/>
    </w:pPr>
    <w:rPr>
      <w:rFonts w:ascii="Times New Roman" w:eastAsia="Times New Roman" w:hAnsi="Times New Roman" w:cs="Times New Roman"/>
      <w:sz w:val="24"/>
      <w:szCs w:val="24"/>
      <w:lang w:eastAsia="es-CL"/>
    </w:rPr>
  </w:style>
  <w:style w:type="character" w:customStyle="1" w:styleId="citation-167">
    <w:name w:val="citation-167"/>
    <w:basedOn w:val="Fuentedeprrafopredeter"/>
    <w:rsid w:val="004C5B25"/>
  </w:style>
  <w:style w:type="character" w:styleId="Textoennegrita">
    <w:name w:val="Strong"/>
    <w:basedOn w:val="Fuentedeprrafopredeter"/>
    <w:uiPriority w:val="22"/>
    <w:qFormat/>
    <w:rsid w:val="004C5B25"/>
    <w:rPr>
      <w:b/>
      <w:bCs/>
    </w:rPr>
  </w:style>
  <w:style w:type="table" w:styleId="Tabladelista4-nfasis1">
    <w:name w:val="List Table 4 Accent 1"/>
    <w:basedOn w:val="Tablanormal"/>
    <w:uiPriority w:val="49"/>
    <w:rsid w:val="004C5B2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D1203C"/>
    <w:pPr>
      <w:spacing w:before="100" w:beforeAutospacing="1" w:afterAutospacing="1" w:line="240" w:lineRule="auto"/>
    </w:pPr>
    <w:rPr>
      <w:rFonts w:ascii="Times New Roman" w:eastAsia="Times New Roman" w:hAnsi="Times New Roman" w:cs="Times New Roman"/>
      <w:sz w:val="24"/>
      <w:szCs w:val="24"/>
      <w:lang w:eastAsia="es-CL"/>
    </w:rPr>
  </w:style>
  <w:style w:type="character" w:customStyle="1" w:styleId="citation-310">
    <w:name w:val="citation-310"/>
    <w:basedOn w:val="Fuentedeprrafopredeter"/>
    <w:rsid w:val="00D1203C"/>
  </w:style>
  <w:style w:type="character" w:customStyle="1" w:styleId="citation-309">
    <w:name w:val="citation-309"/>
    <w:basedOn w:val="Fuentedeprrafopredeter"/>
    <w:rsid w:val="00D1203C"/>
  </w:style>
  <w:style w:type="character" w:customStyle="1" w:styleId="citation-308">
    <w:name w:val="citation-308"/>
    <w:basedOn w:val="Fuentedeprrafopredeter"/>
    <w:rsid w:val="00D1203C"/>
  </w:style>
  <w:style w:type="character" w:customStyle="1" w:styleId="citation-307">
    <w:name w:val="citation-307"/>
    <w:basedOn w:val="Fuentedeprrafopredeter"/>
    <w:rsid w:val="00D1203C"/>
  </w:style>
  <w:style w:type="character" w:customStyle="1" w:styleId="citation-306">
    <w:name w:val="citation-306"/>
    <w:basedOn w:val="Fuentedeprrafopredeter"/>
    <w:rsid w:val="00D1203C"/>
  </w:style>
  <w:style w:type="character" w:customStyle="1" w:styleId="citation-305">
    <w:name w:val="citation-305"/>
    <w:basedOn w:val="Fuentedeprrafopredeter"/>
    <w:rsid w:val="00D1203C"/>
  </w:style>
  <w:style w:type="character" w:customStyle="1" w:styleId="citation-304">
    <w:name w:val="citation-304"/>
    <w:basedOn w:val="Fuentedeprrafopredeter"/>
    <w:rsid w:val="00D1203C"/>
  </w:style>
  <w:style w:type="character" w:customStyle="1" w:styleId="citation-303">
    <w:name w:val="citation-303"/>
    <w:basedOn w:val="Fuentedeprrafopredeter"/>
    <w:rsid w:val="00D1203C"/>
  </w:style>
  <w:style w:type="character" w:customStyle="1" w:styleId="citation-302">
    <w:name w:val="citation-302"/>
    <w:basedOn w:val="Fuentedeprrafopredeter"/>
    <w:rsid w:val="00D1203C"/>
  </w:style>
  <w:style w:type="character" w:customStyle="1" w:styleId="citation-301">
    <w:name w:val="citation-301"/>
    <w:basedOn w:val="Fuentedeprrafopredeter"/>
    <w:rsid w:val="00D1203C"/>
  </w:style>
  <w:style w:type="character" w:customStyle="1" w:styleId="citation-300">
    <w:name w:val="citation-300"/>
    <w:basedOn w:val="Fuentedeprrafopredeter"/>
    <w:rsid w:val="00D1203C"/>
  </w:style>
  <w:style w:type="character" w:customStyle="1" w:styleId="citation-299">
    <w:name w:val="citation-299"/>
    <w:basedOn w:val="Fuentedeprrafopredeter"/>
    <w:rsid w:val="00D1203C"/>
  </w:style>
  <w:style w:type="character" w:customStyle="1" w:styleId="citation-298">
    <w:name w:val="citation-298"/>
    <w:basedOn w:val="Fuentedeprrafopredeter"/>
    <w:rsid w:val="00D1203C"/>
  </w:style>
  <w:style w:type="character" w:customStyle="1" w:styleId="citation-297">
    <w:name w:val="citation-297"/>
    <w:basedOn w:val="Fuentedeprrafopredeter"/>
    <w:rsid w:val="00D1203C"/>
  </w:style>
  <w:style w:type="character" w:customStyle="1" w:styleId="citation-296">
    <w:name w:val="citation-296"/>
    <w:basedOn w:val="Fuentedeprrafopredeter"/>
    <w:rsid w:val="00D1203C"/>
  </w:style>
  <w:style w:type="character" w:customStyle="1" w:styleId="citation-295">
    <w:name w:val="citation-295"/>
    <w:basedOn w:val="Fuentedeprrafopredeter"/>
    <w:rsid w:val="00D1203C"/>
  </w:style>
  <w:style w:type="character" w:customStyle="1" w:styleId="citation-294">
    <w:name w:val="citation-294"/>
    <w:basedOn w:val="Fuentedeprrafopredeter"/>
    <w:rsid w:val="00D1203C"/>
  </w:style>
  <w:style w:type="character" w:customStyle="1" w:styleId="citation-293">
    <w:name w:val="citation-293"/>
    <w:basedOn w:val="Fuentedeprrafopredeter"/>
    <w:rsid w:val="00D1203C"/>
  </w:style>
  <w:style w:type="character" w:customStyle="1" w:styleId="citation-292">
    <w:name w:val="citation-292"/>
    <w:basedOn w:val="Fuentedeprrafopredeter"/>
    <w:rsid w:val="00D1203C"/>
  </w:style>
  <w:style w:type="character" w:customStyle="1" w:styleId="citation-291">
    <w:name w:val="citation-291"/>
    <w:basedOn w:val="Fuentedeprrafopredeter"/>
    <w:rsid w:val="00D1203C"/>
  </w:style>
  <w:style w:type="character" w:customStyle="1" w:styleId="citation-290">
    <w:name w:val="citation-290"/>
    <w:basedOn w:val="Fuentedeprrafopredeter"/>
    <w:rsid w:val="00D1203C"/>
  </w:style>
  <w:style w:type="character" w:customStyle="1" w:styleId="citation-289">
    <w:name w:val="citation-289"/>
    <w:basedOn w:val="Fuentedeprrafopredeter"/>
    <w:rsid w:val="00D1203C"/>
  </w:style>
  <w:style w:type="character" w:customStyle="1" w:styleId="citation-288">
    <w:name w:val="citation-288"/>
    <w:basedOn w:val="Fuentedeprrafopredeter"/>
    <w:rsid w:val="00D1203C"/>
  </w:style>
  <w:style w:type="character" w:customStyle="1" w:styleId="citation-287">
    <w:name w:val="citation-287"/>
    <w:basedOn w:val="Fuentedeprrafopredeter"/>
    <w:rsid w:val="00D1203C"/>
  </w:style>
  <w:style w:type="character" w:customStyle="1" w:styleId="citation-286">
    <w:name w:val="citation-286"/>
    <w:basedOn w:val="Fuentedeprrafopredeter"/>
    <w:rsid w:val="00D1203C"/>
  </w:style>
  <w:style w:type="character" w:customStyle="1" w:styleId="citation-285">
    <w:name w:val="citation-285"/>
    <w:basedOn w:val="Fuentedeprrafopredeter"/>
    <w:rsid w:val="00D1203C"/>
  </w:style>
  <w:style w:type="character" w:customStyle="1" w:styleId="citation-284">
    <w:name w:val="citation-284"/>
    <w:basedOn w:val="Fuentedeprrafopredeter"/>
    <w:rsid w:val="00D1203C"/>
  </w:style>
  <w:style w:type="character" w:customStyle="1" w:styleId="citation-283">
    <w:name w:val="citation-283"/>
    <w:basedOn w:val="Fuentedeprrafopredeter"/>
    <w:rsid w:val="00D1203C"/>
  </w:style>
  <w:style w:type="character" w:customStyle="1" w:styleId="citation-282">
    <w:name w:val="citation-282"/>
    <w:basedOn w:val="Fuentedeprrafopredeter"/>
    <w:rsid w:val="00D1203C"/>
  </w:style>
  <w:style w:type="character" w:customStyle="1" w:styleId="citation-281">
    <w:name w:val="citation-281"/>
    <w:basedOn w:val="Fuentedeprrafopredeter"/>
    <w:rsid w:val="00D1203C"/>
  </w:style>
  <w:style w:type="character" w:customStyle="1" w:styleId="citation-280">
    <w:name w:val="citation-280"/>
    <w:basedOn w:val="Fuentedeprrafopredeter"/>
    <w:rsid w:val="00D1203C"/>
  </w:style>
  <w:style w:type="character" w:customStyle="1" w:styleId="citation-279">
    <w:name w:val="citation-279"/>
    <w:basedOn w:val="Fuentedeprrafopredeter"/>
    <w:rsid w:val="00D1203C"/>
  </w:style>
  <w:style w:type="character" w:customStyle="1" w:styleId="citation-278">
    <w:name w:val="citation-278"/>
    <w:basedOn w:val="Fuentedeprrafopredeter"/>
    <w:rsid w:val="00D1203C"/>
  </w:style>
  <w:style w:type="character" w:customStyle="1" w:styleId="citation-277">
    <w:name w:val="citation-277"/>
    <w:basedOn w:val="Fuentedeprrafopredeter"/>
    <w:rsid w:val="00D1203C"/>
  </w:style>
  <w:style w:type="character" w:customStyle="1" w:styleId="citation-276">
    <w:name w:val="citation-276"/>
    <w:basedOn w:val="Fuentedeprrafopredeter"/>
    <w:rsid w:val="00D1203C"/>
  </w:style>
  <w:style w:type="paragraph" w:styleId="TtuloTDC">
    <w:name w:val="TOC Heading"/>
    <w:basedOn w:val="Ttulo1"/>
    <w:next w:val="Normal"/>
    <w:uiPriority w:val="39"/>
    <w:unhideWhenUsed/>
    <w:qFormat/>
    <w:rsid w:val="006C1D94"/>
    <w:pPr>
      <w:outlineLvl w:val="9"/>
    </w:pPr>
    <w:rPr>
      <w:b w:val="0"/>
      <w:lang w:eastAsia="es-CL"/>
    </w:rPr>
  </w:style>
  <w:style w:type="paragraph" w:styleId="TDC1">
    <w:name w:val="toc 1"/>
    <w:basedOn w:val="Normal"/>
    <w:next w:val="Normal"/>
    <w:autoRedefine/>
    <w:uiPriority w:val="39"/>
    <w:unhideWhenUsed/>
    <w:rsid w:val="006C1D94"/>
  </w:style>
  <w:style w:type="character" w:styleId="Hipervnculo">
    <w:name w:val="Hyperlink"/>
    <w:basedOn w:val="Fuentedeprrafopredeter"/>
    <w:uiPriority w:val="99"/>
    <w:unhideWhenUsed/>
    <w:rsid w:val="006C1D94"/>
    <w:rPr>
      <w:color w:val="0563C1" w:themeColor="hyperlink"/>
      <w:u w:val="single"/>
    </w:rPr>
  </w:style>
  <w:style w:type="paragraph" w:styleId="Prrafodelista">
    <w:name w:val="List Paragraph"/>
    <w:basedOn w:val="Normal"/>
    <w:uiPriority w:val="34"/>
    <w:qFormat/>
    <w:rsid w:val="0008521A"/>
    <w:pPr>
      <w:ind w:left="720"/>
      <w:contextualSpacing/>
    </w:pPr>
  </w:style>
  <w:style w:type="character" w:customStyle="1" w:styleId="citation-391">
    <w:name w:val="citation-391"/>
    <w:basedOn w:val="Fuentedeprrafopredeter"/>
    <w:rsid w:val="005312E0"/>
  </w:style>
  <w:style w:type="character" w:customStyle="1" w:styleId="citation-390">
    <w:name w:val="citation-390"/>
    <w:basedOn w:val="Fuentedeprrafopredeter"/>
    <w:rsid w:val="005312E0"/>
  </w:style>
  <w:style w:type="character" w:customStyle="1" w:styleId="citation-389">
    <w:name w:val="citation-389"/>
    <w:basedOn w:val="Fuentedeprrafopredeter"/>
    <w:rsid w:val="005312E0"/>
  </w:style>
  <w:style w:type="character" w:customStyle="1" w:styleId="citation-388">
    <w:name w:val="citation-388"/>
    <w:basedOn w:val="Fuentedeprrafopredeter"/>
    <w:rsid w:val="005312E0"/>
  </w:style>
  <w:style w:type="character" w:customStyle="1" w:styleId="citation-387">
    <w:name w:val="citation-387"/>
    <w:basedOn w:val="Fuentedeprrafopredeter"/>
    <w:rsid w:val="005312E0"/>
  </w:style>
  <w:style w:type="character" w:customStyle="1" w:styleId="citation-386">
    <w:name w:val="citation-386"/>
    <w:basedOn w:val="Fuentedeprrafopredeter"/>
    <w:rsid w:val="005312E0"/>
  </w:style>
  <w:style w:type="character" w:customStyle="1" w:styleId="citation-385">
    <w:name w:val="citation-385"/>
    <w:basedOn w:val="Fuentedeprrafopredeter"/>
    <w:rsid w:val="005312E0"/>
  </w:style>
  <w:style w:type="character" w:customStyle="1" w:styleId="citation-384">
    <w:name w:val="citation-384"/>
    <w:basedOn w:val="Fuentedeprrafopredeter"/>
    <w:rsid w:val="005312E0"/>
  </w:style>
  <w:style w:type="character" w:customStyle="1" w:styleId="citation-383">
    <w:name w:val="citation-383"/>
    <w:basedOn w:val="Fuentedeprrafopredeter"/>
    <w:rsid w:val="005312E0"/>
  </w:style>
  <w:style w:type="character" w:customStyle="1" w:styleId="citation-382">
    <w:name w:val="citation-382"/>
    <w:basedOn w:val="Fuentedeprrafopredeter"/>
    <w:rsid w:val="005312E0"/>
  </w:style>
  <w:style w:type="character" w:customStyle="1" w:styleId="citation-381">
    <w:name w:val="citation-381"/>
    <w:basedOn w:val="Fuentedeprrafopredeter"/>
    <w:rsid w:val="005312E0"/>
  </w:style>
  <w:style w:type="character" w:customStyle="1" w:styleId="citation-380">
    <w:name w:val="citation-380"/>
    <w:basedOn w:val="Fuentedeprrafopredeter"/>
    <w:rsid w:val="005312E0"/>
  </w:style>
  <w:style w:type="character" w:customStyle="1" w:styleId="citation-379">
    <w:name w:val="citation-379"/>
    <w:basedOn w:val="Fuentedeprrafopredeter"/>
    <w:rsid w:val="005312E0"/>
  </w:style>
  <w:style w:type="character" w:customStyle="1" w:styleId="citation-234">
    <w:name w:val="citation-234"/>
    <w:basedOn w:val="Fuentedeprrafopredeter"/>
    <w:rsid w:val="00BC7255"/>
  </w:style>
  <w:style w:type="character" w:customStyle="1" w:styleId="citation-233">
    <w:name w:val="citation-233"/>
    <w:basedOn w:val="Fuentedeprrafopredeter"/>
    <w:rsid w:val="00BC7255"/>
  </w:style>
  <w:style w:type="character" w:customStyle="1" w:styleId="citation-232">
    <w:name w:val="citation-232"/>
    <w:basedOn w:val="Fuentedeprrafopredeter"/>
    <w:rsid w:val="00BC7255"/>
  </w:style>
  <w:style w:type="character" w:customStyle="1" w:styleId="citation-231">
    <w:name w:val="citation-231"/>
    <w:basedOn w:val="Fuentedeprrafopredeter"/>
    <w:rsid w:val="00BC7255"/>
  </w:style>
  <w:style w:type="character" w:customStyle="1" w:styleId="citation-338">
    <w:name w:val="citation-338"/>
    <w:basedOn w:val="Fuentedeprrafopredeter"/>
    <w:rsid w:val="0070139B"/>
  </w:style>
  <w:style w:type="character" w:customStyle="1" w:styleId="citation-337">
    <w:name w:val="citation-337"/>
    <w:basedOn w:val="Fuentedeprrafopredeter"/>
    <w:rsid w:val="0070139B"/>
  </w:style>
  <w:style w:type="character" w:customStyle="1" w:styleId="citation-336">
    <w:name w:val="citation-336"/>
    <w:basedOn w:val="Fuentedeprrafopredeter"/>
    <w:rsid w:val="0070139B"/>
  </w:style>
  <w:style w:type="character" w:customStyle="1" w:styleId="citation-335">
    <w:name w:val="citation-335"/>
    <w:basedOn w:val="Fuentedeprrafopredeter"/>
    <w:rsid w:val="0070139B"/>
  </w:style>
  <w:style w:type="character" w:customStyle="1" w:styleId="citation-334">
    <w:name w:val="citation-334"/>
    <w:basedOn w:val="Fuentedeprrafopredeter"/>
    <w:rsid w:val="0070139B"/>
  </w:style>
  <w:style w:type="character" w:customStyle="1" w:styleId="citation-333">
    <w:name w:val="citation-333"/>
    <w:basedOn w:val="Fuentedeprrafopredeter"/>
    <w:rsid w:val="0070139B"/>
  </w:style>
  <w:style w:type="character" w:customStyle="1" w:styleId="citation-332">
    <w:name w:val="citation-332"/>
    <w:basedOn w:val="Fuentedeprrafopredeter"/>
    <w:rsid w:val="0070139B"/>
  </w:style>
  <w:style w:type="character" w:customStyle="1" w:styleId="citation-331">
    <w:name w:val="citation-331"/>
    <w:basedOn w:val="Fuentedeprrafopredeter"/>
    <w:rsid w:val="0070139B"/>
  </w:style>
  <w:style w:type="character" w:customStyle="1" w:styleId="citation-330">
    <w:name w:val="citation-330"/>
    <w:basedOn w:val="Fuentedeprrafopredeter"/>
    <w:rsid w:val="0070139B"/>
  </w:style>
  <w:style w:type="character" w:customStyle="1" w:styleId="citation-329">
    <w:name w:val="citation-329"/>
    <w:basedOn w:val="Fuentedeprrafopredeter"/>
    <w:rsid w:val="0070139B"/>
  </w:style>
  <w:style w:type="character" w:customStyle="1" w:styleId="citation-328">
    <w:name w:val="citation-328"/>
    <w:basedOn w:val="Fuentedeprrafopredeter"/>
    <w:rsid w:val="0070139B"/>
  </w:style>
  <w:style w:type="character" w:customStyle="1" w:styleId="citation-327">
    <w:name w:val="citation-327"/>
    <w:basedOn w:val="Fuentedeprrafopredeter"/>
    <w:rsid w:val="0070139B"/>
  </w:style>
  <w:style w:type="character" w:customStyle="1" w:styleId="citation-326">
    <w:name w:val="citation-326"/>
    <w:basedOn w:val="Fuentedeprrafopredeter"/>
    <w:rsid w:val="0070139B"/>
  </w:style>
  <w:style w:type="character" w:customStyle="1" w:styleId="citation-325">
    <w:name w:val="citation-325"/>
    <w:basedOn w:val="Fuentedeprrafopredeter"/>
    <w:rsid w:val="0070139B"/>
  </w:style>
  <w:style w:type="character" w:customStyle="1" w:styleId="citation-324">
    <w:name w:val="citation-324"/>
    <w:basedOn w:val="Fuentedeprrafopredeter"/>
    <w:rsid w:val="0070139B"/>
  </w:style>
  <w:style w:type="character" w:customStyle="1" w:styleId="citation-323">
    <w:name w:val="citation-323"/>
    <w:basedOn w:val="Fuentedeprrafopredeter"/>
    <w:rsid w:val="0070139B"/>
  </w:style>
  <w:style w:type="character" w:customStyle="1" w:styleId="citation-322">
    <w:name w:val="citation-322"/>
    <w:basedOn w:val="Fuentedeprrafopredeter"/>
    <w:rsid w:val="0070139B"/>
  </w:style>
  <w:style w:type="character" w:styleId="Mencinsinresolver">
    <w:name w:val="Unresolved Mention"/>
    <w:basedOn w:val="Fuentedeprrafopredeter"/>
    <w:uiPriority w:val="99"/>
    <w:semiHidden/>
    <w:unhideWhenUsed/>
    <w:rsid w:val="00C90240"/>
    <w:rPr>
      <w:color w:val="605E5C"/>
      <w:shd w:val="clear" w:color="auto" w:fill="E1DFDD"/>
    </w:rPr>
  </w:style>
  <w:style w:type="character" w:styleId="Hipervnculovisitado">
    <w:name w:val="FollowedHyperlink"/>
    <w:basedOn w:val="Fuentedeprrafopredeter"/>
    <w:uiPriority w:val="99"/>
    <w:semiHidden/>
    <w:unhideWhenUsed/>
    <w:rsid w:val="00C90240"/>
    <w:rPr>
      <w:color w:val="954F72" w:themeColor="followedHyperlink"/>
      <w:u w:val="single"/>
    </w:rPr>
  </w:style>
  <w:style w:type="character" w:customStyle="1" w:styleId="Ttulo4Car">
    <w:name w:val="Título 4 Car"/>
    <w:basedOn w:val="Fuentedeprrafopredeter"/>
    <w:link w:val="Ttulo4"/>
    <w:uiPriority w:val="9"/>
    <w:semiHidden/>
    <w:rsid w:val="005770C8"/>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5B6B1C"/>
    <w:rPr>
      <w:rFonts w:asciiTheme="majorHAnsi" w:eastAsiaTheme="majorEastAsia" w:hAnsiTheme="majorHAnsi" w:cstheme="majorBidi"/>
      <w:b/>
      <w:color w:val="2F5496" w:themeColor="accent1" w:themeShade="BF"/>
      <w:sz w:val="24"/>
      <w:szCs w:val="26"/>
    </w:rPr>
  </w:style>
  <w:style w:type="table" w:styleId="Tablaconcuadrcula4-nfasis1">
    <w:name w:val="Grid Table 4 Accent 1"/>
    <w:basedOn w:val="Tablanormal"/>
    <w:uiPriority w:val="49"/>
    <w:rsid w:val="008E36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2">
    <w:name w:val="toc 2"/>
    <w:basedOn w:val="Normal"/>
    <w:next w:val="Normal"/>
    <w:autoRedefine/>
    <w:uiPriority w:val="39"/>
    <w:unhideWhenUsed/>
    <w:rsid w:val="00A9016E"/>
    <w:pPr>
      <w:ind w:left="220"/>
    </w:pPr>
  </w:style>
  <w:style w:type="table" w:styleId="Tablaconcuadrcula">
    <w:name w:val="Table Grid"/>
    <w:basedOn w:val="Tablanormal"/>
    <w:uiPriority w:val="39"/>
    <w:rsid w:val="00CF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53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942">
      <w:bodyDiv w:val="1"/>
      <w:marLeft w:val="0"/>
      <w:marRight w:val="0"/>
      <w:marTop w:val="0"/>
      <w:marBottom w:val="0"/>
      <w:divBdr>
        <w:top w:val="none" w:sz="0" w:space="0" w:color="auto"/>
        <w:left w:val="none" w:sz="0" w:space="0" w:color="auto"/>
        <w:bottom w:val="none" w:sz="0" w:space="0" w:color="auto"/>
        <w:right w:val="none" w:sz="0" w:space="0" w:color="auto"/>
      </w:divBdr>
    </w:div>
    <w:div w:id="92214563">
      <w:bodyDiv w:val="1"/>
      <w:marLeft w:val="0"/>
      <w:marRight w:val="0"/>
      <w:marTop w:val="0"/>
      <w:marBottom w:val="0"/>
      <w:divBdr>
        <w:top w:val="none" w:sz="0" w:space="0" w:color="auto"/>
        <w:left w:val="none" w:sz="0" w:space="0" w:color="auto"/>
        <w:bottom w:val="none" w:sz="0" w:space="0" w:color="auto"/>
        <w:right w:val="none" w:sz="0" w:space="0" w:color="auto"/>
      </w:divBdr>
    </w:div>
    <w:div w:id="124585632">
      <w:bodyDiv w:val="1"/>
      <w:marLeft w:val="0"/>
      <w:marRight w:val="0"/>
      <w:marTop w:val="0"/>
      <w:marBottom w:val="0"/>
      <w:divBdr>
        <w:top w:val="none" w:sz="0" w:space="0" w:color="auto"/>
        <w:left w:val="none" w:sz="0" w:space="0" w:color="auto"/>
        <w:bottom w:val="none" w:sz="0" w:space="0" w:color="auto"/>
        <w:right w:val="none" w:sz="0" w:space="0" w:color="auto"/>
      </w:divBdr>
    </w:div>
    <w:div w:id="128329357">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241532306">
      <w:bodyDiv w:val="1"/>
      <w:marLeft w:val="0"/>
      <w:marRight w:val="0"/>
      <w:marTop w:val="0"/>
      <w:marBottom w:val="0"/>
      <w:divBdr>
        <w:top w:val="none" w:sz="0" w:space="0" w:color="auto"/>
        <w:left w:val="none" w:sz="0" w:space="0" w:color="auto"/>
        <w:bottom w:val="none" w:sz="0" w:space="0" w:color="auto"/>
        <w:right w:val="none" w:sz="0" w:space="0" w:color="auto"/>
      </w:divBdr>
    </w:div>
    <w:div w:id="264848300">
      <w:bodyDiv w:val="1"/>
      <w:marLeft w:val="0"/>
      <w:marRight w:val="0"/>
      <w:marTop w:val="0"/>
      <w:marBottom w:val="0"/>
      <w:divBdr>
        <w:top w:val="none" w:sz="0" w:space="0" w:color="auto"/>
        <w:left w:val="none" w:sz="0" w:space="0" w:color="auto"/>
        <w:bottom w:val="none" w:sz="0" w:space="0" w:color="auto"/>
        <w:right w:val="none" w:sz="0" w:space="0" w:color="auto"/>
      </w:divBdr>
    </w:div>
    <w:div w:id="269362202">
      <w:bodyDiv w:val="1"/>
      <w:marLeft w:val="0"/>
      <w:marRight w:val="0"/>
      <w:marTop w:val="0"/>
      <w:marBottom w:val="0"/>
      <w:divBdr>
        <w:top w:val="none" w:sz="0" w:space="0" w:color="auto"/>
        <w:left w:val="none" w:sz="0" w:space="0" w:color="auto"/>
        <w:bottom w:val="none" w:sz="0" w:space="0" w:color="auto"/>
        <w:right w:val="none" w:sz="0" w:space="0" w:color="auto"/>
      </w:divBdr>
    </w:div>
    <w:div w:id="342243358">
      <w:bodyDiv w:val="1"/>
      <w:marLeft w:val="0"/>
      <w:marRight w:val="0"/>
      <w:marTop w:val="0"/>
      <w:marBottom w:val="0"/>
      <w:divBdr>
        <w:top w:val="none" w:sz="0" w:space="0" w:color="auto"/>
        <w:left w:val="none" w:sz="0" w:space="0" w:color="auto"/>
        <w:bottom w:val="none" w:sz="0" w:space="0" w:color="auto"/>
        <w:right w:val="none" w:sz="0" w:space="0" w:color="auto"/>
      </w:divBdr>
    </w:div>
    <w:div w:id="409935952">
      <w:bodyDiv w:val="1"/>
      <w:marLeft w:val="0"/>
      <w:marRight w:val="0"/>
      <w:marTop w:val="0"/>
      <w:marBottom w:val="0"/>
      <w:divBdr>
        <w:top w:val="none" w:sz="0" w:space="0" w:color="auto"/>
        <w:left w:val="none" w:sz="0" w:space="0" w:color="auto"/>
        <w:bottom w:val="none" w:sz="0" w:space="0" w:color="auto"/>
        <w:right w:val="none" w:sz="0" w:space="0" w:color="auto"/>
      </w:divBdr>
    </w:div>
    <w:div w:id="482431991">
      <w:bodyDiv w:val="1"/>
      <w:marLeft w:val="0"/>
      <w:marRight w:val="0"/>
      <w:marTop w:val="0"/>
      <w:marBottom w:val="0"/>
      <w:divBdr>
        <w:top w:val="none" w:sz="0" w:space="0" w:color="auto"/>
        <w:left w:val="none" w:sz="0" w:space="0" w:color="auto"/>
        <w:bottom w:val="none" w:sz="0" w:space="0" w:color="auto"/>
        <w:right w:val="none" w:sz="0" w:space="0" w:color="auto"/>
      </w:divBdr>
    </w:div>
    <w:div w:id="515578232">
      <w:bodyDiv w:val="1"/>
      <w:marLeft w:val="0"/>
      <w:marRight w:val="0"/>
      <w:marTop w:val="0"/>
      <w:marBottom w:val="0"/>
      <w:divBdr>
        <w:top w:val="none" w:sz="0" w:space="0" w:color="auto"/>
        <w:left w:val="none" w:sz="0" w:space="0" w:color="auto"/>
        <w:bottom w:val="none" w:sz="0" w:space="0" w:color="auto"/>
        <w:right w:val="none" w:sz="0" w:space="0" w:color="auto"/>
      </w:divBdr>
    </w:div>
    <w:div w:id="715853510">
      <w:bodyDiv w:val="1"/>
      <w:marLeft w:val="0"/>
      <w:marRight w:val="0"/>
      <w:marTop w:val="0"/>
      <w:marBottom w:val="0"/>
      <w:divBdr>
        <w:top w:val="none" w:sz="0" w:space="0" w:color="auto"/>
        <w:left w:val="none" w:sz="0" w:space="0" w:color="auto"/>
        <w:bottom w:val="none" w:sz="0" w:space="0" w:color="auto"/>
        <w:right w:val="none" w:sz="0" w:space="0" w:color="auto"/>
      </w:divBdr>
    </w:div>
    <w:div w:id="771053312">
      <w:bodyDiv w:val="1"/>
      <w:marLeft w:val="0"/>
      <w:marRight w:val="0"/>
      <w:marTop w:val="0"/>
      <w:marBottom w:val="0"/>
      <w:divBdr>
        <w:top w:val="none" w:sz="0" w:space="0" w:color="auto"/>
        <w:left w:val="none" w:sz="0" w:space="0" w:color="auto"/>
        <w:bottom w:val="none" w:sz="0" w:space="0" w:color="auto"/>
        <w:right w:val="none" w:sz="0" w:space="0" w:color="auto"/>
      </w:divBdr>
    </w:div>
    <w:div w:id="800735529">
      <w:bodyDiv w:val="1"/>
      <w:marLeft w:val="0"/>
      <w:marRight w:val="0"/>
      <w:marTop w:val="0"/>
      <w:marBottom w:val="0"/>
      <w:divBdr>
        <w:top w:val="none" w:sz="0" w:space="0" w:color="auto"/>
        <w:left w:val="none" w:sz="0" w:space="0" w:color="auto"/>
        <w:bottom w:val="none" w:sz="0" w:space="0" w:color="auto"/>
        <w:right w:val="none" w:sz="0" w:space="0" w:color="auto"/>
      </w:divBdr>
    </w:div>
    <w:div w:id="912005032">
      <w:bodyDiv w:val="1"/>
      <w:marLeft w:val="0"/>
      <w:marRight w:val="0"/>
      <w:marTop w:val="0"/>
      <w:marBottom w:val="0"/>
      <w:divBdr>
        <w:top w:val="none" w:sz="0" w:space="0" w:color="auto"/>
        <w:left w:val="none" w:sz="0" w:space="0" w:color="auto"/>
        <w:bottom w:val="none" w:sz="0" w:space="0" w:color="auto"/>
        <w:right w:val="none" w:sz="0" w:space="0" w:color="auto"/>
      </w:divBdr>
    </w:div>
    <w:div w:id="1113478059">
      <w:bodyDiv w:val="1"/>
      <w:marLeft w:val="0"/>
      <w:marRight w:val="0"/>
      <w:marTop w:val="0"/>
      <w:marBottom w:val="0"/>
      <w:divBdr>
        <w:top w:val="none" w:sz="0" w:space="0" w:color="auto"/>
        <w:left w:val="none" w:sz="0" w:space="0" w:color="auto"/>
        <w:bottom w:val="none" w:sz="0" w:space="0" w:color="auto"/>
        <w:right w:val="none" w:sz="0" w:space="0" w:color="auto"/>
      </w:divBdr>
    </w:div>
    <w:div w:id="1113478240">
      <w:bodyDiv w:val="1"/>
      <w:marLeft w:val="0"/>
      <w:marRight w:val="0"/>
      <w:marTop w:val="0"/>
      <w:marBottom w:val="0"/>
      <w:divBdr>
        <w:top w:val="none" w:sz="0" w:space="0" w:color="auto"/>
        <w:left w:val="none" w:sz="0" w:space="0" w:color="auto"/>
        <w:bottom w:val="none" w:sz="0" w:space="0" w:color="auto"/>
        <w:right w:val="none" w:sz="0" w:space="0" w:color="auto"/>
      </w:divBdr>
    </w:div>
    <w:div w:id="1417750968">
      <w:bodyDiv w:val="1"/>
      <w:marLeft w:val="0"/>
      <w:marRight w:val="0"/>
      <w:marTop w:val="0"/>
      <w:marBottom w:val="0"/>
      <w:divBdr>
        <w:top w:val="none" w:sz="0" w:space="0" w:color="auto"/>
        <w:left w:val="none" w:sz="0" w:space="0" w:color="auto"/>
        <w:bottom w:val="none" w:sz="0" w:space="0" w:color="auto"/>
        <w:right w:val="none" w:sz="0" w:space="0" w:color="auto"/>
      </w:divBdr>
    </w:div>
    <w:div w:id="1489321363">
      <w:bodyDiv w:val="1"/>
      <w:marLeft w:val="0"/>
      <w:marRight w:val="0"/>
      <w:marTop w:val="0"/>
      <w:marBottom w:val="0"/>
      <w:divBdr>
        <w:top w:val="none" w:sz="0" w:space="0" w:color="auto"/>
        <w:left w:val="none" w:sz="0" w:space="0" w:color="auto"/>
        <w:bottom w:val="none" w:sz="0" w:space="0" w:color="auto"/>
        <w:right w:val="none" w:sz="0" w:space="0" w:color="auto"/>
      </w:divBdr>
    </w:div>
    <w:div w:id="1529950888">
      <w:bodyDiv w:val="1"/>
      <w:marLeft w:val="0"/>
      <w:marRight w:val="0"/>
      <w:marTop w:val="0"/>
      <w:marBottom w:val="0"/>
      <w:divBdr>
        <w:top w:val="none" w:sz="0" w:space="0" w:color="auto"/>
        <w:left w:val="none" w:sz="0" w:space="0" w:color="auto"/>
        <w:bottom w:val="none" w:sz="0" w:space="0" w:color="auto"/>
        <w:right w:val="none" w:sz="0" w:space="0" w:color="auto"/>
      </w:divBdr>
    </w:div>
    <w:div w:id="1558738972">
      <w:bodyDiv w:val="1"/>
      <w:marLeft w:val="0"/>
      <w:marRight w:val="0"/>
      <w:marTop w:val="0"/>
      <w:marBottom w:val="0"/>
      <w:divBdr>
        <w:top w:val="none" w:sz="0" w:space="0" w:color="auto"/>
        <w:left w:val="none" w:sz="0" w:space="0" w:color="auto"/>
        <w:bottom w:val="none" w:sz="0" w:space="0" w:color="auto"/>
        <w:right w:val="none" w:sz="0" w:space="0" w:color="auto"/>
      </w:divBdr>
    </w:div>
    <w:div w:id="1567718818">
      <w:bodyDiv w:val="1"/>
      <w:marLeft w:val="0"/>
      <w:marRight w:val="0"/>
      <w:marTop w:val="0"/>
      <w:marBottom w:val="0"/>
      <w:divBdr>
        <w:top w:val="none" w:sz="0" w:space="0" w:color="auto"/>
        <w:left w:val="none" w:sz="0" w:space="0" w:color="auto"/>
        <w:bottom w:val="none" w:sz="0" w:space="0" w:color="auto"/>
        <w:right w:val="none" w:sz="0" w:space="0" w:color="auto"/>
      </w:divBdr>
    </w:div>
    <w:div w:id="1580600667">
      <w:bodyDiv w:val="1"/>
      <w:marLeft w:val="0"/>
      <w:marRight w:val="0"/>
      <w:marTop w:val="0"/>
      <w:marBottom w:val="0"/>
      <w:divBdr>
        <w:top w:val="none" w:sz="0" w:space="0" w:color="auto"/>
        <w:left w:val="none" w:sz="0" w:space="0" w:color="auto"/>
        <w:bottom w:val="none" w:sz="0" w:space="0" w:color="auto"/>
        <w:right w:val="none" w:sz="0" w:space="0" w:color="auto"/>
      </w:divBdr>
    </w:div>
    <w:div w:id="1596472870">
      <w:bodyDiv w:val="1"/>
      <w:marLeft w:val="0"/>
      <w:marRight w:val="0"/>
      <w:marTop w:val="0"/>
      <w:marBottom w:val="0"/>
      <w:divBdr>
        <w:top w:val="none" w:sz="0" w:space="0" w:color="auto"/>
        <w:left w:val="none" w:sz="0" w:space="0" w:color="auto"/>
        <w:bottom w:val="none" w:sz="0" w:space="0" w:color="auto"/>
        <w:right w:val="none" w:sz="0" w:space="0" w:color="auto"/>
      </w:divBdr>
    </w:div>
    <w:div w:id="1685395129">
      <w:bodyDiv w:val="1"/>
      <w:marLeft w:val="0"/>
      <w:marRight w:val="0"/>
      <w:marTop w:val="0"/>
      <w:marBottom w:val="0"/>
      <w:divBdr>
        <w:top w:val="none" w:sz="0" w:space="0" w:color="auto"/>
        <w:left w:val="none" w:sz="0" w:space="0" w:color="auto"/>
        <w:bottom w:val="none" w:sz="0" w:space="0" w:color="auto"/>
        <w:right w:val="none" w:sz="0" w:space="0" w:color="auto"/>
      </w:divBdr>
    </w:div>
    <w:div w:id="1755397824">
      <w:bodyDiv w:val="1"/>
      <w:marLeft w:val="0"/>
      <w:marRight w:val="0"/>
      <w:marTop w:val="0"/>
      <w:marBottom w:val="0"/>
      <w:divBdr>
        <w:top w:val="none" w:sz="0" w:space="0" w:color="auto"/>
        <w:left w:val="none" w:sz="0" w:space="0" w:color="auto"/>
        <w:bottom w:val="none" w:sz="0" w:space="0" w:color="auto"/>
        <w:right w:val="none" w:sz="0" w:space="0" w:color="auto"/>
      </w:divBdr>
    </w:div>
    <w:div w:id="1796753508">
      <w:bodyDiv w:val="1"/>
      <w:marLeft w:val="0"/>
      <w:marRight w:val="0"/>
      <w:marTop w:val="0"/>
      <w:marBottom w:val="0"/>
      <w:divBdr>
        <w:top w:val="none" w:sz="0" w:space="0" w:color="auto"/>
        <w:left w:val="none" w:sz="0" w:space="0" w:color="auto"/>
        <w:bottom w:val="none" w:sz="0" w:space="0" w:color="auto"/>
        <w:right w:val="none" w:sz="0" w:space="0" w:color="auto"/>
      </w:divBdr>
    </w:div>
    <w:div w:id="1810592598">
      <w:bodyDiv w:val="1"/>
      <w:marLeft w:val="0"/>
      <w:marRight w:val="0"/>
      <w:marTop w:val="0"/>
      <w:marBottom w:val="0"/>
      <w:divBdr>
        <w:top w:val="none" w:sz="0" w:space="0" w:color="auto"/>
        <w:left w:val="none" w:sz="0" w:space="0" w:color="auto"/>
        <w:bottom w:val="none" w:sz="0" w:space="0" w:color="auto"/>
        <w:right w:val="none" w:sz="0" w:space="0" w:color="auto"/>
      </w:divBdr>
    </w:div>
    <w:div w:id="1816993580">
      <w:bodyDiv w:val="1"/>
      <w:marLeft w:val="0"/>
      <w:marRight w:val="0"/>
      <w:marTop w:val="0"/>
      <w:marBottom w:val="0"/>
      <w:divBdr>
        <w:top w:val="none" w:sz="0" w:space="0" w:color="auto"/>
        <w:left w:val="none" w:sz="0" w:space="0" w:color="auto"/>
        <w:bottom w:val="none" w:sz="0" w:space="0" w:color="auto"/>
        <w:right w:val="none" w:sz="0" w:space="0" w:color="auto"/>
      </w:divBdr>
    </w:div>
    <w:div w:id="1917402132">
      <w:bodyDiv w:val="1"/>
      <w:marLeft w:val="0"/>
      <w:marRight w:val="0"/>
      <w:marTop w:val="0"/>
      <w:marBottom w:val="0"/>
      <w:divBdr>
        <w:top w:val="none" w:sz="0" w:space="0" w:color="auto"/>
        <w:left w:val="none" w:sz="0" w:space="0" w:color="auto"/>
        <w:bottom w:val="none" w:sz="0" w:space="0" w:color="auto"/>
        <w:right w:val="none" w:sz="0" w:space="0" w:color="auto"/>
      </w:divBdr>
    </w:div>
    <w:div w:id="1985431534">
      <w:bodyDiv w:val="1"/>
      <w:marLeft w:val="0"/>
      <w:marRight w:val="0"/>
      <w:marTop w:val="0"/>
      <w:marBottom w:val="0"/>
      <w:divBdr>
        <w:top w:val="none" w:sz="0" w:space="0" w:color="auto"/>
        <w:left w:val="none" w:sz="0" w:space="0" w:color="auto"/>
        <w:bottom w:val="none" w:sz="0" w:space="0" w:color="auto"/>
        <w:right w:val="none" w:sz="0" w:space="0" w:color="auto"/>
      </w:divBdr>
    </w:div>
    <w:div w:id="2024041733">
      <w:bodyDiv w:val="1"/>
      <w:marLeft w:val="0"/>
      <w:marRight w:val="0"/>
      <w:marTop w:val="0"/>
      <w:marBottom w:val="0"/>
      <w:divBdr>
        <w:top w:val="none" w:sz="0" w:space="0" w:color="auto"/>
        <w:left w:val="none" w:sz="0" w:space="0" w:color="auto"/>
        <w:bottom w:val="none" w:sz="0" w:space="0" w:color="auto"/>
        <w:right w:val="none" w:sz="0" w:space="0" w:color="auto"/>
      </w:divBdr>
    </w:div>
    <w:div w:id="2090493828">
      <w:bodyDiv w:val="1"/>
      <w:marLeft w:val="0"/>
      <w:marRight w:val="0"/>
      <w:marTop w:val="0"/>
      <w:marBottom w:val="0"/>
      <w:divBdr>
        <w:top w:val="none" w:sz="0" w:space="0" w:color="auto"/>
        <w:left w:val="none" w:sz="0" w:space="0" w:color="auto"/>
        <w:bottom w:val="none" w:sz="0" w:space="0" w:color="auto"/>
        <w:right w:val="none" w:sz="0" w:space="0" w:color="auto"/>
      </w:divBdr>
    </w:div>
    <w:div w:id="2096629762">
      <w:bodyDiv w:val="1"/>
      <w:marLeft w:val="0"/>
      <w:marRight w:val="0"/>
      <w:marTop w:val="0"/>
      <w:marBottom w:val="0"/>
      <w:divBdr>
        <w:top w:val="none" w:sz="0" w:space="0" w:color="auto"/>
        <w:left w:val="none" w:sz="0" w:space="0" w:color="auto"/>
        <w:bottom w:val="none" w:sz="0" w:space="0" w:color="auto"/>
        <w:right w:val="none" w:sz="0" w:space="0" w:color="auto"/>
      </w:divBdr>
    </w:div>
    <w:div w:id="2099212327">
      <w:bodyDiv w:val="1"/>
      <w:marLeft w:val="0"/>
      <w:marRight w:val="0"/>
      <w:marTop w:val="0"/>
      <w:marBottom w:val="0"/>
      <w:divBdr>
        <w:top w:val="none" w:sz="0" w:space="0" w:color="auto"/>
        <w:left w:val="none" w:sz="0" w:space="0" w:color="auto"/>
        <w:bottom w:val="none" w:sz="0" w:space="0" w:color="auto"/>
        <w:right w:val="none" w:sz="0" w:space="0" w:color="auto"/>
      </w:divBdr>
    </w:div>
    <w:div w:id="2127845100">
      <w:bodyDiv w:val="1"/>
      <w:marLeft w:val="0"/>
      <w:marRight w:val="0"/>
      <w:marTop w:val="0"/>
      <w:marBottom w:val="0"/>
      <w:divBdr>
        <w:top w:val="none" w:sz="0" w:space="0" w:color="auto"/>
        <w:left w:val="none" w:sz="0" w:space="0" w:color="auto"/>
        <w:bottom w:val="none" w:sz="0" w:space="0" w:color="auto"/>
        <w:right w:val="none" w:sz="0" w:space="0" w:color="auto"/>
      </w:divBdr>
    </w:div>
    <w:div w:id="213201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83AF-3FE3-4A66-8A61-D982A4FD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9</Pages>
  <Words>2568</Words>
  <Characters>14127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ATLAS</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dc:title>
  <dc:subject>Plataforma de Registro Operativo y Trazabilidad para Soporte en Terreno</dc:subject>
  <dc:creator>INTEGRANTES:</dc:creator>
  <cp:keywords>ATLAS, Requerimientos funcionales, RF, Duoc UC</cp:keywords>
  <dc:description/>
  <cp:lastModifiedBy>Diego Jimenez</cp:lastModifiedBy>
  <cp:revision>1</cp:revision>
  <dcterms:created xsi:type="dcterms:W3CDTF">2026-03-18T12:16:00Z</dcterms:created>
  <dcterms:modified xsi:type="dcterms:W3CDTF">2026-10-18T23:58:00Z</dcterms:modified>
</cp:coreProperties>
</file>