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E5FAC" w14:textId="77777777" w:rsidR="0003309E" w:rsidRDefault="0003309E" w:rsidP="0003309E"/>
    <w:p w14:paraId="05E90D86"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0F5D8729" wp14:editId="1216D83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202465C" w14:textId="77777777" w:rsidR="0003309E" w:rsidRDefault="0003309E" w:rsidP="0003309E">
                              <w:pPr>
                                <w:spacing w:after="0" w:line="240" w:lineRule="auto"/>
                                <w:rPr>
                                  <w:b/>
                                  <w:color w:val="FF0000"/>
                                  <w:sz w:val="48"/>
                                  <w:szCs w:val="48"/>
                                </w:rPr>
                              </w:pPr>
                            </w:p>
                            <w:p w14:paraId="7C51DFA8"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BFE1EA0"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5D8729"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202465C" w14:textId="77777777" w:rsidR="0003309E" w:rsidRDefault="0003309E" w:rsidP="0003309E">
                        <w:pPr>
                          <w:spacing w:after="0" w:line="240" w:lineRule="auto"/>
                          <w:rPr>
                            <w:b/>
                            <w:color w:val="FF0000"/>
                            <w:sz w:val="48"/>
                            <w:szCs w:val="48"/>
                          </w:rPr>
                        </w:pPr>
                      </w:p>
                      <w:p w14:paraId="7C51DFA8"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BFE1EA0"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58B87E75" w14:textId="77777777" w:rsidR="0003309E" w:rsidRDefault="0003309E" w:rsidP="0003309E">
      <w:pPr>
        <w:rPr>
          <w:rFonts w:cs="Calibri Light"/>
          <w:color w:val="595959" w:themeColor="text1" w:themeTint="A6"/>
          <w:sz w:val="24"/>
          <w:szCs w:val="24"/>
          <w:lang w:val="es-ES"/>
        </w:rPr>
      </w:pPr>
    </w:p>
    <w:p w14:paraId="38D831DC" w14:textId="77777777" w:rsidR="0003309E" w:rsidRDefault="0003309E" w:rsidP="0003309E">
      <w:pPr>
        <w:rPr>
          <w:rFonts w:cs="Calibri Light"/>
          <w:color w:val="595959" w:themeColor="text1" w:themeTint="A6"/>
          <w:sz w:val="24"/>
          <w:szCs w:val="24"/>
          <w:lang w:val="es-ES"/>
        </w:rPr>
      </w:pPr>
    </w:p>
    <w:p w14:paraId="58FD9937" w14:textId="77777777" w:rsidR="0003309E" w:rsidRDefault="0003309E" w:rsidP="0003309E">
      <w:pPr>
        <w:rPr>
          <w:rFonts w:cs="Calibri Light"/>
          <w:color w:val="595959" w:themeColor="text1" w:themeTint="A6"/>
          <w:sz w:val="24"/>
          <w:szCs w:val="24"/>
          <w:lang w:val="es-ES"/>
        </w:rPr>
      </w:pPr>
    </w:p>
    <w:p w14:paraId="13EBBA16" w14:textId="77777777" w:rsidR="0003309E" w:rsidRDefault="0003309E" w:rsidP="0003309E">
      <w:pPr>
        <w:rPr>
          <w:rFonts w:cs="Calibri Light"/>
          <w:color w:val="595959" w:themeColor="text1" w:themeTint="A6"/>
          <w:sz w:val="24"/>
          <w:szCs w:val="24"/>
          <w:lang w:val="es-ES"/>
        </w:rPr>
      </w:pPr>
    </w:p>
    <w:p w14:paraId="554E8F12" w14:textId="77777777" w:rsidR="0003309E" w:rsidRDefault="0003309E" w:rsidP="0003309E">
      <w:pPr>
        <w:rPr>
          <w:rFonts w:cs="Calibri Light"/>
          <w:color w:val="595959" w:themeColor="text1" w:themeTint="A6"/>
          <w:sz w:val="24"/>
          <w:szCs w:val="24"/>
          <w:lang w:val="es-ES"/>
        </w:rPr>
      </w:pPr>
    </w:p>
    <w:p w14:paraId="41D37E67"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639"/>
      </w:tblGrid>
      <w:tr w:rsidR="0003309E" w14:paraId="7EB9CC74" w14:textId="77777777" w:rsidTr="00C5122E">
        <w:trPr>
          <w:trHeight w:val="440"/>
        </w:trPr>
        <w:tc>
          <w:tcPr>
            <w:tcW w:w="9639" w:type="dxa"/>
            <w:vAlign w:val="center"/>
          </w:tcPr>
          <w:p w14:paraId="69A51F97"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54B4642B" w14:textId="77777777" w:rsidTr="00C5122E">
        <w:trPr>
          <w:trHeight w:val="800"/>
        </w:trPr>
        <w:tc>
          <w:tcPr>
            <w:tcW w:w="9639" w:type="dxa"/>
            <w:shd w:val="clear" w:color="auto" w:fill="D9E2F3" w:themeFill="accent1" w:themeFillTint="33"/>
            <w:vAlign w:val="center"/>
          </w:tcPr>
          <w:p w14:paraId="38E56DDC" w14:textId="77777777" w:rsidR="0003309E" w:rsidRPr="00CF1EFF" w:rsidRDefault="0003309E" w:rsidP="00585A13">
            <w:pPr>
              <w:pStyle w:val="Piedepgina"/>
              <w:jc w:val="both"/>
              <w:rPr>
                <w:rFonts w:asciiTheme="majorHAnsi" w:hAnsiTheme="majorHAnsi" w:cstheme="majorHAnsi"/>
                <w:color w:val="1F3864" w:themeColor="accent1" w:themeShade="80"/>
              </w:rPr>
            </w:pPr>
            <w:r w:rsidRPr="00CF1EFF">
              <w:rPr>
                <w:rFonts w:asciiTheme="majorHAnsi" w:hAnsiTheme="majorHAnsi" w:cstheme="majorHAnsi"/>
                <w:color w:val="1F3864" w:themeColor="accent1" w:themeShade="80"/>
              </w:rPr>
              <w:t xml:space="preserve">A continuación, encontrarás distintos campos que deberás completar con la información solicitada. </w:t>
            </w:r>
          </w:p>
        </w:tc>
      </w:tr>
    </w:tbl>
    <w:p w14:paraId="277397E5" w14:textId="77777777" w:rsidR="0003309E" w:rsidRDefault="0003309E" w:rsidP="0003309E">
      <w:pPr>
        <w:spacing w:after="0" w:line="240" w:lineRule="auto"/>
        <w:rPr>
          <w:rFonts w:cs="Calibri Light"/>
          <w:color w:val="595959" w:themeColor="text1" w:themeTint="A6"/>
          <w:sz w:val="24"/>
          <w:szCs w:val="24"/>
          <w:lang w:val="es-ES"/>
        </w:rPr>
      </w:pPr>
    </w:p>
    <w:p w14:paraId="1896F09B"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type="auto" w:w="0"/>
        <w:tblLayout w:type="fixed"/>
        <w:tblLook w:firstColumn="1" w:firstRow="1" w:lastColumn="0" w:lastRow="0" w:noHBand="0" w:noVBand="1" w:val="04A0"/>
      </w:tblPr>
      <w:tblGrid>
        <w:gridCol w:w="2154"/>
        <w:gridCol w:w="6350"/>
      </w:tblGrid>
      <w:tr>
        <w:trPr>
          <w:cantSplit/>
        </w:trPr>
        <w:tc>
          <w:tcPr>
            <w:tcW w:type="dxa" w:w="2154"/>
            <w:vAlign w:val="center"/>
            <w:tcMar>
              <w:top w:w="65" w:type="dxa"/>
              <w:bottom w:w="65" w:type="dxa"/>
              <w:start w:w="110" w:type="dxa"/>
              <w:end w:w="110" w:type="dxa"/>
            </w:tcMar>
          </w:tcPr>
          <w:p>
            <w:pPr>
              <w:spacing w:line="264" w:lineRule="auto" w:before="60" w:after="60"/>
              <w:jc w:val="left"/>
            </w:pPr>
            <w:r>
              <w:rPr>
                <w:rFonts w:ascii="Calibri" w:hAnsi="Calibri"/>
                <w:b/>
                <w:color w:val="1F3864"/>
                <w:sz w:val="21"/>
              </w:rPr>
              <w:t>Resumen de avance proyecto APT</w:t>
            </w:r>
          </w:p>
        </w:tc>
        <w:tc>
          <w:tcPr>
            <w:tcW w:type="dxa" w:w="6350"/>
            <w:vAlign w:val="center"/>
            <w:tcMar>
              <w:top w:w="65" w:type="dxa"/>
              <w:bottom w:w="65" w:type="dxa"/>
              <w:start w:w="110" w:type="dxa"/>
              <w:end w:w="110" w:type="dxa"/>
            </w:tcMar>
          </w:tcPr>
          <w:p>
            <w:pPr>
              <w:spacing w:line="264" w:lineRule="auto" w:before="60" w:after="60"/>
              <w:jc w:val="both"/>
            </w:pPr>
            <w:r>
              <w:rPr>
                <w:rFonts w:ascii="Calibri" w:hAnsi="Calibri"/>
                <w:b w:val="0"/>
                <w:color w:val="363D44"/>
                <w:sz w:val="20"/>
              </w:rPr>
              <w:t>Durante la Fase 2, ATLAS consolidó su alcance como plataforma de coordinación y trazabilidad del soporte técnico en terreno. Se elaboraron y revisaron la ficha, el acta, stakeholders, visión, objetivo y roadmap del producto, requisitos, historias de usuario, arquitectura, diagramas UML y modelo de datos. El desarrollo contempla Panel Web, Portal Cliente con Magic Link y App Técnica PWA, con una API FastAPI y PostgreSQL en Neon. Se obtuvo evidencia del esquema real de Neon para contrastar el DER. El avance del software fue revisado positivamente por la docente; continúan la integración, las pruebas y las correcciones de texto que permitan respaldar el funcionamiento de cada módulo.</w:t>
            </w:r>
          </w:p>
        </w:tc>
      </w:tr>
      <w:tr>
        <w:trPr>
          <w:cantSplit/>
        </w:trPr>
        <w:tc>
          <w:tcPr>
            <w:tcW w:type="dxa" w:w="2154"/>
            <w:vAlign w:val="center"/>
            <w:tcMar>
              <w:top w:w="65" w:type="dxa"/>
              <w:bottom w:w="65" w:type="dxa"/>
              <w:start w:w="110" w:type="dxa"/>
              <w:end w:w="110" w:type="dxa"/>
            </w:tcMar>
          </w:tcPr>
          <w:p>
            <w:pPr>
              <w:spacing w:line="264" w:lineRule="auto" w:before="60" w:after="60"/>
              <w:jc w:val="left"/>
            </w:pPr>
            <w:r>
              <w:rPr>
                <w:rFonts w:ascii="Calibri" w:hAnsi="Calibri"/>
                <w:b/>
                <w:color w:val="1F3864"/>
                <w:sz w:val="21"/>
              </w:rPr>
              <w:t>Objetivos</w:t>
            </w:r>
          </w:p>
        </w:tc>
        <w:tc>
          <w:tcPr>
            <w:tcW w:type="dxa" w:w="6350"/>
            <w:vAlign w:val="center"/>
            <w:tcMar>
              <w:top w:w="65" w:type="dxa"/>
              <w:bottom w:w="65" w:type="dxa"/>
              <w:start w:w="110" w:type="dxa"/>
              <w:end w:w="110" w:type="dxa"/>
            </w:tcMar>
          </w:tcPr>
          <w:p>
            <w:pPr>
              <w:spacing w:line="264" w:lineRule="auto" w:before="60" w:after="60"/>
              <w:jc w:val="both"/>
            </w:pPr>
            <w:r>
              <w:rPr>
                <w:rFonts w:ascii="Calibri" w:hAnsi="Calibri"/>
                <w:b w:val="0"/>
                <w:color w:val="363D44"/>
                <w:sz w:val="20"/>
              </w:rPr>
              <w:t>Se mantiene el objetivo aprobado de centralizar órdenes, antecedentes Router/SIM, estados y evidencias de las atenciones, conectando a coordinación, técnicos y empresas clientes. Se precisó el MVP en tres interfaces y una API común; no se contempla seguimiento GPS continuo, ruteo dinámico ni una plataforma CRM/AIOps. Los objetivos funcionales no cambiaron de propósito, pero se afinaron los requisitos y criterios de aceptación durante el desarrollo.</w:t>
            </w:r>
          </w:p>
        </w:tc>
      </w:tr>
      <w:tr>
        <w:trPr>
          <w:cantSplit/>
        </w:trPr>
        <w:tc>
          <w:tcPr>
            <w:tcW w:type="dxa" w:w="2154"/>
            <w:vAlign w:val="center"/>
            <w:tcMar>
              <w:top w:w="65" w:type="dxa"/>
              <w:bottom w:w="65" w:type="dxa"/>
              <w:start w:w="110" w:type="dxa"/>
              <w:end w:w="110" w:type="dxa"/>
            </w:tcMar>
          </w:tcPr>
          <w:p>
            <w:pPr>
              <w:spacing w:line="264" w:lineRule="auto" w:before="60" w:after="60"/>
              <w:jc w:val="left"/>
            </w:pPr>
            <w:r>
              <w:rPr>
                <w:rFonts w:ascii="Calibri" w:hAnsi="Calibri"/>
                <w:b/>
                <w:color w:val="1F3864"/>
                <w:sz w:val="21"/>
              </w:rPr>
              <w:t>Metodología</w:t>
            </w:r>
          </w:p>
        </w:tc>
        <w:tc>
          <w:tcPr>
            <w:tcW w:type="dxa" w:w="6350"/>
            <w:vAlign w:val="center"/>
            <w:tcMar>
              <w:top w:w="65" w:type="dxa"/>
              <w:bottom w:w="65" w:type="dxa"/>
              <w:start w:w="110" w:type="dxa"/>
              <w:end w:w="110" w:type="dxa"/>
            </w:tcMar>
          </w:tcPr>
          <w:p>
            <w:pPr>
              <w:spacing w:line="264" w:lineRule="auto" w:before="60" w:after="60"/>
              <w:jc w:val="both"/>
            </w:pPr>
            <w:r>
              <w:rPr>
                <w:rFonts w:ascii="Calibri" w:hAnsi="Calibri"/>
                <w:b w:val="0"/>
                <w:color w:val="363D44"/>
                <w:sz w:val="20"/>
              </w:rPr>
              <w:t>Se utiliza Kanban como método principal para visualizar y priorizar trabajo en el tablero de Notion (Backlog, To Do, In Progress, Review y Done). Cada integrante desarrolla componentes de su especialidad, con coordinación y revisiones cruzadas. El desarrollo se realizó en paralelo y con ajustes según dependencias y disponibilidad; no se sostiene una ejecución por sprints fijos ni una combinación formal Scrum-Kanban.</w:t>
            </w:r>
          </w:p>
        </w:tc>
      </w:tr>
      <w:tr>
        <w:trPr>
          <w:cantSplit/>
        </w:trPr>
        <w:tc>
          <w:tcPr>
            <w:tcW w:type="dxa" w:w="2154"/>
            <w:vAlign w:val="center"/>
            <w:tcMar>
              <w:top w:w="65" w:type="dxa"/>
              <w:bottom w:w="65" w:type="dxa"/>
              <w:start w:w="110" w:type="dxa"/>
              <w:end w:w="110" w:type="dxa"/>
            </w:tcMar>
          </w:tcPr>
          <w:p>
            <w:pPr>
              <w:spacing w:line="264" w:lineRule="auto" w:before="60" w:after="60"/>
              <w:jc w:val="left"/>
            </w:pPr>
            <w:r>
              <w:rPr>
                <w:rFonts w:ascii="Calibri" w:hAnsi="Calibri"/>
                <w:b/>
                <w:color w:val="1F3864"/>
                <w:sz w:val="21"/>
              </w:rPr>
              <w:t>Evidencias de avance</w:t>
            </w:r>
          </w:p>
        </w:tc>
        <w:tc>
          <w:tcPr>
            <w:tcW w:type="dxa" w:w="6350"/>
            <w:vAlign w:val="center"/>
            <w:tcMar>
              <w:top w:w="65" w:type="dxa"/>
              <w:bottom w:w="65" w:type="dxa"/>
              <w:start w:w="110" w:type="dxa"/>
              <w:end w:w="110" w:type="dxa"/>
            </w:tcMar>
          </w:tcPr>
          <w:p>
            <w:pPr>
              <w:spacing w:line="264" w:lineRule="auto" w:before="60" w:after="60"/>
              <w:jc w:val="both"/>
            </w:pPr>
            <w:r>
              <w:rPr>
                <w:rFonts w:ascii="Calibri" w:hAnsi="Calibri"/>
                <w:b w:val="0"/>
                <w:color w:val="363D44"/>
                <w:sz w:val="20"/>
              </w:rPr>
              <w:t>Evidencias disponibles: ficha y acta; registro y matriz de stakeholders; Product Vision, Goal y Roadmap; requisitos funcionales y no funcionales; historias de usuario; prototipos; documentación de arquitectura y UML; y esquema PostgreSQL de Neon con su DER contrastado. También se cuenta con el tablero de tareas en Notion y repositorios de desarrollo. La validación de endpoints, Magic Links, almacenamiento de evidencias, comportamiento offline y pruebas integrales requiere contrastarse con el software y registros de prueba. La docente observó especialmente la necesidad de mejorar ortografía, tildes y redacción en pantallas y documentos.</w:t>
            </w:r>
          </w:p>
        </w:tc>
      </w:tr>
    </w:tbl>
    <w:tbl>
      <w:tblPr>
        <w:tblStyle w:val="Tablaconcuadrcula"/>
        <w:tblW w:w="991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918"/>
      </w:tblGrid>
      <w:tr w:rsidR="00586C9C" w14:paraId="28B3EAA2" w14:textId="77777777" w:rsidTr="00CF1EFF">
        <w:trPr>
          <w:trHeight w:val="440"/>
        </w:trPr>
        <w:tc>
          <w:tcPr>
            <w:tcW w:w="9918" w:type="dxa"/>
            <w:vAlign w:val="center"/>
          </w:tcPr>
          <w:p w14:paraId="6D426F4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58603DDF" w14:textId="77777777" w:rsidTr="00CF1EFF">
        <w:trPr>
          <w:trHeight w:val="800"/>
        </w:trPr>
        <w:tc>
          <w:tcPr>
            <w:tcW w:w="9918" w:type="dxa"/>
            <w:shd w:val="clear" w:color="auto" w:fill="D9E2F3" w:themeFill="accent1" w:themeFillTint="33"/>
            <w:vAlign w:val="center"/>
          </w:tcPr>
          <w:p w14:paraId="193D1BCD"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7F3268E7"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type="auto" w:w="0"/>
        <w:tblLayout w:type="fixed"/>
        <w:tblLook w:firstColumn="1" w:firstRow="1" w:lastColumn="0" w:lastRow="0" w:noHBand="0" w:noVBand="1" w:val="04A0"/>
      </w:tblPr>
      <w:tblGrid>
        <w:gridCol w:w="1559"/>
        <w:gridCol w:w="2381"/>
        <w:gridCol w:w="1474"/>
        <w:gridCol w:w="1276"/>
        <w:gridCol w:w="1814"/>
      </w:tblGrid>
      <w:tr>
        <w:trPr>
          <w:cantSplit/>
        </w:trPr>
        <w:tc>
          <w:tcPr>
            <w:tcW w:type="dxa" w:w="8505"/>
            <w:gridSpan w:val="5"/>
            <w:vAlign w:val="center"/>
            <w:tcMar>
              <w:top w:w="100" w:type="dxa"/>
              <w:start w:w="100" w:type="dxa"/>
              <w:bottom w:w="100" w:type="dxa"/>
              <w:end w:w="100" w:type="dxa"/>
            </w:tcMar>
            <w:shd w:fill="D9E2F3"/>
          </w:tcPr>
          <w:p>
            <w:pPr>
              <w:spacing w:before="40" w:after="40" w:line="259" w:lineRule="auto"/>
              <w:jc w:val="center"/>
            </w:pPr>
            <w:r>
              <w:rPr>
                <w:rFonts w:ascii="Calibri" w:hAnsi="Calibri"/>
                <w:b/>
                <w:color w:val="1F3864"/>
                <w:sz w:val="18"/>
              </w:rPr>
              <w:t>Plan de Trabajo · Actividades, recursos y responsables</w:t>
            </w:r>
          </w:p>
        </w:tc>
      </w:tr>
      <w:tr>
        <w:trPr>
          <w:cantSplit/>
        </w:trPr>
        <w:tc>
          <w:tcPr>
            <w:tcW w:type="dxa" w:w="1701"/>
            <w:vAlign w:val="center"/>
            <w:tcMar>
              <w:top w:w="100" w:type="dxa"/>
              <w:start w:w="100" w:type="dxa"/>
              <w:bottom w:w="100" w:type="dxa"/>
              <w:end w:w="100" w:type="dxa"/>
            </w:tcMar>
            <w:shd w:fill="1F3864"/>
          </w:tcPr>
          <w:p>
            <w:pPr>
              <w:spacing w:before="40" w:after="40" w:line="259" w:lineRule="auto"/>
              <w:jc w:val="center"/>
            </w:pPr>
            <w:r>
              <w:rPr>
                <w:rFonts w:ascii="Calibri" w:hAnsi="Calibri"/>
                <w:b/>
                <w:color w:val="FFFFFF"/>
                <w:sz w:val="18"/>
              </w:rPr>
              <w:t>Competencia o unidad</w:t>
            </w:r>
          </w:p>
        </w:tc>
        <w:tc>
          <w:tcPr>
            <w:tcW w:type="dxa" w:w="1701"/>
            <w:vAlign w:val="center"/>
            <w:tcMar>
              <w:top w:w="100" w:type="dxa"/>
              <w:start w:w="100" w:type="dxa"/>
              <w:bottom w:w="100" w:type="dxa"/>
              <w:end w:w="100" w:type="dxa"/>
            </w:tcMar>
            <w:shd w:fill="1F3864"/>
          </w:tcPr>
          <w:p>
            <w:pPr>
              <w:spacing w:before="40" w:after="40" w:line="259" w:lineRule="auto"/>
              <w:jc w:val="center"/>
            </w:pPr>
            <w:r>
              <w:rPr>
                <w:rFonts w:ascii="Calibri" w:hAnsi="Calibri"/>
                <w:b/>
                <w:color w:val="FFFFFF"/>
                <w:sz w:val="18"/>
              </w:rPr>
              <w:t>Actividades</w:t>
            </w:r>
          </w:p>
        </w:tc>
        <w:tc>
          <w:tcPr>
            <w:tcW w:type="dxa" w:w="1701"/>
            <w:vAlign w:val="center"/>
            <w:tcMar>
              <w:top w:w="100" w:type="dxa"/>
              <w:start w:w="100" w:type="dxa"/>
              <w:bottom w:w="100" w:type="dxa"/>
              <w:end w:w="100" w:type="dxa"/>
            </w:tcMar>
            <w:shd w:fill="1F3864"/>
          </w:tcPr>
          <w:p>
            <w:pPr>
              <w:spacing w:before="40" w:after="40" w:line="259" w:lineRule="auto"/>
              <w:jc w:val="center"/>
            </w:pPr>
            <w:r>
              <w:rPr>
                <w:rFonts w:ascii="Calibri" w:hAnsi="Calibri"/>
                <w:b/>
                <w:color w:val="FFFFFF"/>
                <w:sz w:val="18"/>
              </w:rPr>
              <w:t>Recursos</w:t>
            </w:r>
          </w:p>
        </w:tc>
        <w:tc>
          <w:tcPr>
            <w:tcW w:type="dxa" w:w="1701"/>
            <w:vAlign w:val="center"/>
            <w:tcMar>
              <w:top w:w="100" w:type="dxa"/>
              <w:start w:w="100" w:type="dxa"/>
              <w:bottom w:w="100" w:type="dxa"/>
              <w:end w:w="100" w:type="dxa"/>
            </w:tcMar>
            <w:shd w:fill="1F3864"/>
          </w:tcPr>
          <w:p>
            <w:pPr>
              <w:spacing w:before="40" w:after="40" w:line="259" w:lineRule="auto"/>
              <w:jc w:val="center"/>
            </w:pPr>
            <w:r>
              <w:rPr>
                <w:rFonts w:ascii="Calibri" w:hAnsi="Calibri"/>
                <w:b/>
                <w:color w:val="FFFFFF"/>
                <w:sz w:val="18"/>
              </w:rPr>
              <w:t>Duración de la actividad</w:t>
            </w:r>
          </w:p>
        </w:tc>
        <w:tc>
          <w:tcPr>
            <w:tcW w:type="dxa" w:w="1701"/>
            <w:vAlign w:val="center"/>
            <w:tcMar>
              <w:top w:w="100" w:type="dxa"/>
              <w:start w:w="100" w:type="dxa"/>
              <w:bottom w:w="100" w:type="dxa"/>
              <w:end w:w="100" w:type="dxa"/>
            </w:tcMar>
            <w:shd w:fill="1F3864"/>
          </w:tcPr>
          <w:p>
            <w:pPr>
              <w:spacing w:before="40" w:after="40" w:line="259" w:lineRule="auto"/>
              <w:jc w:val="center"/>
            </w:pPr>
            <w:r>
              <w:rPr>
                <w:rFonts w:ascii="Calibri" w:hAnsi="Calibri"/>
                <w:b/>
                <w:color w:val="FFFFFF"/>
                <w:sz w:val="18"/>
              </w:rPr>
              <w:t>Responsable</w:t>
            </w:r>
          </w:p>
        </w:tc>
      </w:tr>
      <w:tr>
        <w:trPr>
          <w:cantSplit/>
        </w:trPr>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Gestión del proyecto</w:t>
            </w:r>
          </w:p>
        </w:tc>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Ficha, acta, stakeholders y documentación de alcance</w:t>
            </w:r>
          </w:p>
        </w:tc>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Word, Excel, Notion</w:t>
            </w:r>
          </w:p>
        </w:tc>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Transversal; fase 1-2</w:t>
            </w:r>
          </w:p>
        </w:tc>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Diego y Joaquín; apoyo del equipo</w:t>
            </w:r>
          </w:p>
        </w:tc>
      </w:tr>
      <w:tr>
        <w:trPr>
          <w:cantSplit/>
        </w:trPr>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Análisis y diseño</w:t>
            </w:r>
          </w:p>
        </w:tc>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Product Vision, Goal, Roadmap, requisitos y UML</w:t>
            </w:r>
          </w:p>
        </w:tc>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Word, diagramas, backlog</w:t>
            </w:r>
          </w:p>
        </w:tc>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Iterativo; fase 1-2</w:t>
            </w:r>
          </w:p>
        </w:tc>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Joaquín y equipo</w:t>
            </w:r>
          </w:p>
        </w:tc>
      </w:tr>
      <w:tr>
        <w:trPr>
          <w:cantSplit/>
        </w:trPr>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Frontend y experiencia</w:t>
            </w:r>
          </w:p>
        </w:tc>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Panel Web y Portal Cliente con acceso Magic Link</w:t>
            </w:r>
          </w:p>
        </w:tc>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React, Tailwind, GitHub</w:t>
            </w:r>
          </w:p>
        </w:tc>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5 sem. diseño inicial</w:t>
            </w:r>
          </w:p>
        </w:tc>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Diego Jiménez</w:t>
            </w:r>
          </w:p>
        </w:tc>
      </w:tr>
      <w:tr>
        <w:trPr>
          <w:cantSplit/>
        </w:trPr>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Backend y API</w:t>
            </w:r>
          </w:p>
        </w:tc>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FastAPI, reglas de negocio y endpoints de órdenes</w:t>
            </w:r>
          </w:p>
        </w:tc>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Python, FastAPI, OpenAPI</w:t>
            </w:r>
          </w:p>
        </w:tc>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7 sem. plan inicial</w:t>
            </w:r>
          </w:p>
        </w:tc>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Joaquín Mendoza</w:t>
            </w:r>
          </w:p>
        </w:tc>
      </w:tr>
      <w:tr>
        <w:trPr>
          <w:cantSplit/>
        </w:trPr>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Datos y persistencia</w:t>
            </w:r>
          </w:p>
        </w:tc>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Modelo relacional, inventario Router/SIM y DER</w:t>
            </w:r>
          </w:p>
        </w:tc>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PostgreSQL en Neon, SQL Editor</w:t>
            </w:r>
          </w:p>
        </w:tc>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4 sem. plan inicial</w:t>
            </w:r>
          </w:p>
        </w:tc>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Alexander Sáez</w:t>
            </w:r>
          </w:p>
        </w:tc>
      </w:tr>
      <w:tr>
        <w:trPr>
          <w:cantSplit/>
        </w:trPr>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Aplicación técnica</w:t>
            </w:r>
          </w:p>
        </w:tc>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PWA: visita, checklist, evidencias y estados</w:t>
            </w:r>
          </w:p>
        </w:tc>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React PWA, casos de uso</w:t>
            </w:r>
          </w:p>
        </w:tc>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En paralelo; fase 2</w:t>
            </w:r>
          </w:p>
        </w:tc>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Matías Abarca</w:t>
            </w:r>
          </w:p>
        </w:tc>
      </w:tr>
      <w:tr>
        <w:trPr>
          <w:cantSplit/>
        </w:trPr>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Integración y calidad</w:t>
            </w:r>
          </w:p>
        </w:tc>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Flujo coordinador–técnico–cliente y pruebas integrales</w:t>
            </w:r>
          </w:p>
        </w:tc>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GitHub, Vercel, API, Neon</w:t>
            </w:r>
          </w:p>
        </w:tc>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8 sem. plan inicial</w:t>
            </w:r>
          </w:p>
        </w:tc>
        <w:tc>
          <w:tcPr>
            <w:tcW w:type="dxa" w:w="1701"/>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Equipo ATLAS</w:t>
            </w:r>
          </w:p>
        </w:tc>
      </w:tr>
      <w:tr>
        <w:trPr>
          <w:cantSplit/>
        </w:trPr>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Documentación y cierre</w:t>
            </w:r>
          </w:p>
        </w:tc>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Evidencias, manuales y demostración</w:t>
            </w:r>
          </w:p>
        </w:tc>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Word, Notion, GitHub</w:t>
            </w:r>
          </w:p>
        </w:tc>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7 sem. plan inicial</w:t>
            </w:r>
          </w:p>
        </w:tc>
        <w:tc>
          <w:tcPr>
            <w:tcW w:type="dxa" w:w="1701"/>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Equipo ATLAS</w:t>
            </w:r>
          </w:p>
        </w:tc>
      </w:tr>
    </w:tbl>
    <w:p>
      <w:pPr>
        <w:pageBreakBefore/>
        <w:spacing w:before="0" w:after="0"/>
      </w:pPr>
    </w:p>
    <w:tbl>
      <w:tblPr>
        <w:tblStyle w:val="Tablaconcuadrcula"/>
        <w:tblW w:type="auto" w:w="0"/>
        <w:tblLayout w:type="fixed"/>
        <w:tblLook w:firstColumn="1" w:firstRow="1" w:lastColumn="0" w:lastRow="0" w:noHBand="0" w:noVBand="1" w:val="04A0"/>
      </w:tblPr>
      <w:tblGrid>
        <w:gridCol w:w="2013"/>
        <w:gridCol w:w="2268"/>
        <w:gridCol w:w="1729"/>
        <w:gridCol w:w="2494"/>
      </w:tblGrid>
      <w:tr>
        <w:trPr>
          <w:cantSplit/>
        </w:trPr>
        <w:tc>
          <w:tcPr>
            <w:tcW w:type="dxa" w:w="8504"/>
            <w:gridSpan w:val="4"/>
            <w:vAlign w:val="center"/>
            <w:tcMar>
              <w:top w:w="100" w:type="dxa"/>
              <w:start w:w="100" w:type="dxa"/>
              <w:bottom w:w="100" w:type="dxa"/>
              <w:end w:w="100" w:type="dxa"/>
            </w:tcMar>
            <w:shd w:fill="D9E2F3"/>
          </w:tcPr>
          <w:p>
            <w:pPr>
              <w:spacing w:before="40" w:after="40" w:line="259" w:lineRule="auto"/>
              <w:jc w:val="center"/>
            </w:pPr>
            <w:r>
              <w:rPr>
                <w:rFonts w:ascii="Calibri" w:hAnsi="Calibri"/>
                <w:b/>
                <w:color w:val="1F3864"/>
                <w:sz w:val="18"/>
              </w:rPr>
              <w:t>Seguimiento del Plan · Estado de avance y ajustes</w:t>
            </w:r>
          </w:p>
        </w:tc>
      </w:tr>
      <w:tr>
        <w:trPr>
          <w:cantSplit/>
        </w:trPr>
        <w:tc>
          <w:tcPr>
            <w:tcW w:type="dxa" w:w="2126"/>
            <w:vAlign w:val="center"/>
            <w:tcMar>
              <w:top w:w="100" w:type="dxa"/>
              <w:start w:w="100" w:type="dxa"/>
              <w:bottom w:w="100" w:type="dxa"/>
              <w:end w:w="100" w:type="dxa"/>
            </w:tcMar>
            <w:shd w:fill="1F3864"/>
          </w:tcPr>
          <w:p>
            <w:pPr>
              <w:spacing w:before="40" w:after="40" w:line="259" w:lineRule="auto"/>
              <w:jc w:val="center"/>
            </w:pPr>
            <w:r>
              <w:rPr>
                <w:rFonts w:ascii="Calibri" w:hAnsi="Calibri"/>
                <w:b/>
                <w:color w:val="FFFFFF"/>
                <w:sz w:val="18"/>
              </w:rPr>
              <w:t>Actividad</w:t>
            </w:r>
          </w:p>
        </w:tc>
        <w:tc>
          <w:tcPr>
            <w:tcW w:type="dxa" w:w="2126"/>
            <w:vAlign w:val="center"/>
            <w:tcMar>
              <w:top w:w="100" w:type="dxa"/>
              <w:start w:w="100" w:type="dxa"/>
              <w:bottom w:w="100" w:type="dxa"/>
              <w:end w:w="100" w:type="dxa"/>
            </w:tcMar>
            <w:shd w:fill="1F3864"/>
          </w:tcPr>
          <w:p>
            <w:pPr>
              <w:spacing w:before="40" w:after="40" w:line="259" w:lineRule="auto"/>
              <w:jc w:val="center"/>
            </w:pPr>
            <w:r>
              <w:rPr>
                <w:rFonts w:ascii="Calibri" w:hAnsi="Calibri"/>
                <w:b/>
                <w:color w:val="FFFFFF"/>
                <w:sz w:val="18"/>
              </w:rPr>
              <w:t>Observaciones</w:t>
            </w:r>
          </w:p>
        </w:tc>
        <w:tc>
          <w:tcPr>
            <w:tcW w:type="dxa" w:w="2126"/>
            <w:vAlign w:val="center"/>
            <w:tcMar>
              <w:top w:w="100" w:type="dxa"/>
              <w:start w:w="100" w:type="dxa"/>
              <w:bottom w:w="100" w:type="dxa"/>
              <w:end w:w="100" w:type="dxa"/>
            </w:tcMar>
            <w:shd w:fill="1F3864"/>
          </w:tcPr>
          <w:p>
            <w:pPr>
              <w:spacing w:before="40" w:after="40" w:line="259" w:lineRule="auto"/>
              <w:jc w:val="center"/>
            </w:pPr>
            <w:r>
              <w:rPr>
                <w:rFonts w:ascii="Calibri" w:hAnsi="Calibri"/>
                <w:b/>
                <w:color w:val="FFFFFF"/>
                <w:sz w:val="18"/>
              </w:rPr>
              <w:t>Estado de avance</w:t>
            </w:r>
          </w:p>
        </w:tc>
        <w:tc>
          <w:tcPr>
            <w:tcW w:type="dxa" w:w="2126"/>
            <w:vAlign w:val="center"/>
            <w:tcMar>
              <w:top w:w="100" w:type="dxa"/>
              <w:start w:w="100" w:type="dxa"/>
              <w:bottom w:w="100" w:type="dxa"/>
              <w:end w:w="100" w:type="dxa"/>
            </w:tcMar>
            <w:shd w:fill="1F3864"/>
          </w:tcPr>
          <w:p>
            <w:pPr>
              <w:spacing w:before="40" w:after="40" w:line="259" w:lineRule="auto"/>
              <w:jc w:val="center"/>
            </w:pPr>
            <w:r>
              <w:rPr>
                <w:rFonts w:ascii="Calibri" w:hAnsi="Calibri"/>
                <w:b/>
                <w:color w:val="FFFFFF"/>
                <w:sz w:val="18"/>
              </w:rPr>
              <w:t>Ajustes</w:t>
            </w:r>
          </w:p>
        </w:tc>
      </w:tr>
      <w:tr>
        <w:trPr>
          <w:cantSplit/>
        </w:trPr>
        <w:tc>
          <w:tcPr>
            <w:tcW w:type="dxa" w:w="2126"/>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Ficha, acta, stakeholders y documentación de alcance</w:t>
            </w:r>
          </w:p>
        </w:tc>
        <w:tc>
          <w:tcPr>
            <w:tcW w:type="dxa" w:w="2126"/>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Documentación elaborada y ajustada al MVP</w:t>
            </w:r>
          </w:p>
        </w:tc>
        <w:tc>
          <w:tcPr>
            <w:tcW w:type="dxa" w:w="2126"/>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Documentado; revisión continua</w:t>
            </w:r>
          </w:p>
        </w:tc>
        <w:tc>
          <w:tcPr>
            <w:tcW w:type="dxa" w:w="2126"/>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Unificar denominaciones, responsables y vínculos con evidencias</w:t>
            </w:r>
          </w:p>
        </w:tc>
      </w:tr>
      <w:tr>
        <w:trPr>
          <w:cantSplit/>
        </w:trPr>
        <w:tc>
          <w:tcPr>
            <w:tcW w:type="dxa" w:w="2126"/>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Product Vision, Goal, Roadmap, requisitos y UML</w:t>
            </w:r>
          </w:p>
        </w:tc>
        <w:tc>
          <w:tcPr>
            <w:tcW w:type="dxa" w:w="2126"/>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Requisitos e historias documentadas; contrastar con funciones visibles</w:t>
            </w:r>
          </w:p>
        </w:tc>
        <w:tc>
          <w:tcPr>
            <w:tcW w:type="dxa" w:w="2126"/>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Documentado; validación cruzada</w:t>
            </w:r>
          </w:p>
        </w:tc>
        <w:tc>
          <w:tcPr>
            <w:tcW w:type="dxa" w:w="2126"/>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Revisar trazabilidad con funcionalidades y criterios de aceptación</w:t>
            </w:r>
          </w:p>
        </w:tc>
      </w:tr>
      <w:tr>
        <w:trPr>
          <w:cantSplit/>
        </w:trPr>
        <w:tc>
          <w:tcPr>
            <w:tcW w:type="dxa" w:w="2126"/>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Panel Web y Portal Cliente con acceso Magic Link</w:t>
            </w:r>
          </w:p>
        </w:tc>
        <w:tc>
          <w:tcPr>
            <w:tcW w:type="dxa" w:w="2126"/>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Prototipos y pantallas trabajadas; coherencia con API</w:t>
            </w:r>
          </w:p>
        </w:tc>
        <w:tc>
          <w:tcPr>
            <w:tcW w:type="dxa" w:w="2126"/>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Desarrollo avanzado; integración por comprobar</w:t>
            </w:r>
          </w:p>
        </w:tc>
        <w:tc>
          <w:tcPr>
            <w:tcW w:type="dxa" w:w="2126"/>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Corregir textos de interfaz, verificar navegación y estados</w:t>
            </w:r>
          </w:p>
        </w:tc>
      </w:tr>
      <w:tr>
        <w:trPr>
          <w:cantSplit/>
        </w:trPr>
        <w:tc>
          <w:tcPr>
            <w:tcW w:type="dxa" w:w="2126"/>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FastAPI, reglas de negocio y endpoints de órdenes</w:t>
            </w:r>
          </w:p>
        </w:tc>
        <w:tc>
          <w:tcPr>
            <w:tcW w:type="dxa" w:w="2126"/>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Arquitectura documentada; rutas deben contrastarse con API ejecutable</w:t>
            </w:r>
          </w:p>
        </w:tc>
        <w:tc>
          <w:tcPr>
            <w:tcW w:type="dxa" w:w="2126"/>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En desarrollo / validación</w:t>
            </w:r>
          </w:p>
        </w:tc>
        <w:tc>
          <w:tcPr>
            <w:tcW w:type="dxa" w:w="2126"/>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Comprobar Swagger, autenticación e integración de los tres módulos</w:t>
            </w:r>
          </w:p>
        </w:tc>
      </w:tr>
      <w:tr>
        <w:trPr>
          <w:cantSplit/>
        </w:trPr>
        <w:tc>
          <w:tcPr>
            <w:tcW w:type="dxa" w:w="2126"/>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Modelo relacional, inventario Router/SIM y DER</w:t>
            </w:r>
          </w:p>
        </w:tc>
        <w:tc>
          <w:tcPr>
            <w:tcW w:type="dxa" w:w="2126"/>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Esquema real exportado y relaciones revisadas; 10 tablas</w:t>
            </w:r>
          </w:p>
        </w:tc>
        <w:tc>
          <w:tcPr>
            <w:tcW w:type="dxa" w:w="2126"/>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Modelo implementado; ajustes documentales</w:t>
            </w:r>
          </w:p>
        </w:tc>
        <w:tc>
          <w:tcPr>
            <w:tcW w:type="dxa" w:w="2126"/>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Conciliar nombres, cardinalidades y restricciones con Neon</w:t>
            </w:r>
          </w:p>
        </w:tc>
      </w:tr>
      <w:tr>
        <w:trPr>
          <w:cantSplit/>
        </w:trPr>
        <w:tc>
          <w:tcPr>
            <w:tcW w:type="dxa" w:w="2126"/>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PWA: visita, checklist, evidencias y estados</w:t>
            </w:r>
          </w:p>
        </w:tc>
        <w:tc>
          <w:tcPr>
            <w:tcW w:type="dxa" w:w="2126"/>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Flujo técnico definido; verificar captura y sincronización temporal</w:t>
            </w:r>
          </w:p>
        </w:tc>
        <w:tc>
          <w:tcPr>
            <w:tcW w:type="dxa" w:w="2126"/>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Pantallas trabajadas; pruebas por consolidar</w:t>
            </w:r>
          </w:p>
        </w:tc>
        <w:tc>
          <w:tcPr>
            <w:tcW w:type="dxa" w:w="2126"/>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Validar manejo sin conexión, checklist y registro de evidencias</w:t>
            </w:r>
          </w:p>
        </w:tc>
      </w:tr>
      <w:tr>
        <w:trPr>
          <w:cantSplit/>
        </w:trPr>
        <w:tc>
          <w:tcPr>
            <w:tcW w:type="dxa" w:w="2126"/>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Flujo coordinador–técnico–cliente y pruebas integrales</w:t>
            </w:r>
          </w:p>
        </w:tc>
        <w:tc>
          <w:tcPr>
            <w:tcW w:type="dxa" w:w="2126"/>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Revisión docente positiva del proyecto; no equivale a aprobación de todas las pruebas</w:t>
            </w:r>
          </w:p>
        </w:tc>
        <w:tc>
          <w:tcPr>
            <w:tcW w:type="dxa" w:w="2126"/>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En validación</w:t>
            </w:r>
          </w:p>
        </w:tc>
        <w:tc>
          <w:tcPr>
            <w:tcW w:type="dxa" w:w="2126"/>
            <w:vAlign w:val="center"/>
            <w:tcMar>
              <w:top w:w="100" w:type="dxa"/>
              <w:start w:w="100" w:type="dxa"/>
              <w:bottom w:w="100" w:type="dxa"/>
              <w:end w:w="100" w:type="dxa"/>
            </w:tcMar>
          </w:tcPr>
          <w:p>
            <w:pPr>
              <w:spacing w:before="40" w:after="40" w:line="259" w:lineRule="auto"/>
              <w:jc w:val="left"/>
            </w:pPr>
            <w:r>
              <w:rPr>
                <w:rFonts w:ascii="Calibri" w:hAnsi="Calibri"/>
                <w:b w:val="0"/>
                <w:color w:val="363D44"/>
                <w:sz w:val="18"/>
              </w:rPr>
              <w:t>Ejecutar casos end-to-end, registrar resultados y corregir ortografía</w:t>
            </w:r>
          </w:p>
        </w:tc>
      </w:tr>
      <w:tr>
        <w:trPr>
          <w:cantSplit/>
        </w:trPr>
        <w:tc>
          <w:tcPr>
            <w:tcW w:type="dxa" w:w="2126"/>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Evidencias, manuales y demostración</w:t>
            </w:r>
          </w:p>
        </w:tc>
        <w:tc>
          <w:tcPr>
            <w:tcW w:type="dxa" w:w="2126"/>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Evidencias reunidas progresivamente; preparación de defensa</w:t>
            </w:r>
          </w:p>
        </w:tc>
        <w:tc>
          <w:tcPr>
            <w:tcW w:type="dxa" w:w="2126"/>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En preparación</w:t>
            </w:r>
          </w:p>
        </w:tc>
        <w:tc>
          <w:tcPr>
            <w:tcW w:type="dxa" w:w="2126"/>
            <w:vAlign w:val="center"/>
            <w:tcMar>
              <w:top w:w="100" w:type="dxa"/>
              <w:start w:w="100" w:type="dxa"/>
              <w:bottom w:w="100" w:type="dxa"/>
              <w:end w:w="100" w:type="dxa"/>
            </w:tcMar>
            <w:shd w:fill="EDF3FA"/>
          </w:tcPr>
          <w:p>
            <w:pPr>
              <w:spacing w:before="40" w:after="40" w:line="259" w:lineRule="auto"/>
              <w:jc w:val="left"/>
            </w:pPr>
            <w:r>
              <w:rPr>
                <w:rFonts w:ascii="Calibri" w:hAnsi="Calibri"/>
                <w:b w:val="0"/>
                <w:color w:val="363D44"/>
                <w:sz w:val="18"/>
              </w:rPr>
              <w:t>Actualizar documentos según implementación final y cerrar pendientes</w:t>
            </w:r>
          </w:p>
        </w:tc>
      </w:tr>
    </w:tbl>
    <w:p w14:paraId="7BF7AA67" w14:textId="77777777" w:rsidR="0003309E" w:rsidRDefault="0003309E" w:rsidP="0003309E">
      <w:pPr>
        <w:rPr>
          <w:rFonts w:cs="Calibri Light"/>
          <w:color w:val="595959" w:themeColor="text1" w:themeTint="A6"/>
          <w:sz w:val="24"/>
          <w:szCs w:val="24"/>
          <w:lang w:val="es-ES"/>
        </w:rPr>
      </w:pPr>
    </w:p>
    <w:tbl>
      <w:tblPr>
        <w:tblStyle w:val="Tablaconcuadrcula"/>
        <w:tblW w:w="9923"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923"/>
      </w:tblGrid>
      <w:tr w:rsidR="0003309E" w14:paraId="2FB020AE" w14:textId="77777777" w:rsidTr="00CF1EFF">
        <w:trPr>
          <w:trHeight w:val="440"/>
        </w:trPr>
        <w:tc>
          <w:tcPr>
            <w:tcW w:w="9923" w:type="dxa"/>
            <w:vAlign w:val="center"/>
          </w:tcPr>
          <w:p w14:paraId="67512973" w14:textId="77777777" w:rsidR="0003309E" w:rsidRPr="00BF2EA6" w:rsidRDefault="0003309E" w:rsidP="00585A13">
            <w:pPr>
              <w:pageBreakBefore/>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18A31963" w14:textId="77777777" w:rsidTr="00CF1EFF">
        <w:trPr>
          <w:trHeight w:val="800"/>
        </w:trPr>
        <w:tc>
          <w:tcPr>
            <w:tcW w:w="9923" w:type="dxa"/>
            <w:shd w:val="clear" w:color="auto" w:fill="D9E2F3" w:themeFill="accent1" w:themeFillTint="33"/>
            <w:vAlign w:val="center"/>
          </w:tcPr>
          <w:p w14:paraId="12E28F60" w14:textId="77777777" w:rsidR="0003309E" w:rsidRPr="00CF1EFF" w:rsidRDefault="0003309E">
            <w:pPr>
              <w:pStyle w:val="Piedepgina"/>
              <w:jc w:val="both"/>
              <w:rPr>
                <w:rFonts w:asciiTheme="majorHAnsi" w:hAnsiTheme="majorHAnsi" w:cstheme="majorHAnsi"/>
                <w:color w:val="1F3864" w:themeColor="accent1" w:themeShade="80"/>
              </w:rPr>
            </w:pPr>
            <w:r w:rsidRPr="00CF1EFF">
              <w:rPr>
                <w:rFonts w:asciiTheme="majorHAnsi" w:hAnsiTheme="majorHAnsi" w:cstheme="majorHAnsi"/>
                <w:color w:val="1F3864" w:themeColor="accent1" w:themeShade="80"/>
              </w:rPr>
              <w:t>Profundiza en las observaciones de tu plan de trabajo</w:t>
            </w:r>
            <w:r w:rsidR="00521026" w:rsidRPr="00CF1EFF">
              <w:rPr>
                <w:rFonts w:asciiTheme="majorHAnsi" w:hAnsiTheme="majorHAnsi" w:cstheme="majorHAnsi"/>
                <w:color w:val="1F3864" w:themeColor="accent1" w:themeShade="80"/>
              </w:rPr>
              <w:t xml:space="preserve">. Analiza las actividades planificadas y señala </w:t>
            </w:r>
            <w:r w:rsidRPr="00CF1EFF">
              <w:rPr>
                <w:rFonts w:asciiTheme="majorHAnsi" w:hAnsiTheme="majorHAnsi" w:cstheme="majorHAnsi"/>
                <w:color w:val="1F3864" w:themeColor="accent1" w:themeShade="80"/>
              </w:rPr>
              <w:t xml:space="preserve">qué </w:t>
            </w:r>
            <w:r w:rsidR="00521026" w:rsidRPr="00CF1EFF">
              <w:rPr>
                <w:rFonts w:asciiTheme="majorHAnsi" w:hAnsiTheme="majorHAnsi" w:cstheme="majorHAnsi"/>
                <w:color w:val="1F3864" w:themeColor="accent1" w:themeShade="80"/>
              </w:rPr>
              <w:t xml:space="preserve">aspectos facilitaron u </w:t>
            </w:r>
            <w:r w:rsidRPr="00CF1EFF">
              <w:rPr>
                <w:rFonts w:asciiTheme="majorHAnsi" w:hAnsiTheme="majorHAnsi" w:cstheme="majorHAnsi"/>
                <w:color w:val="1F3864" w:themeColor="accent1" w:themeShade="80"/>
              </w:rPr>
              <w:t>obst</w:t>
            </w:r>
            <w:r w:rsidR="00521026" w:rsidRPr="00CF1EFF">
              <w:rPr>
                <w:rFonts w:asciiTheme="majorHAnsi" w:hAnsiTheme="majorHAnsi" w:cstheme="majorHAnsi"/>
                <w:color w:val="1F3864" w:themeColor="accent1" w:themeShade="80"/>
              </w:rPr>
              <w:t xml:space="preserve">aculizaron la ejecución del plan. Plantea </w:t>
            </w:r>
            <w:r w:rsidRPr="00CF1EFF">
              <w:rPr>
                <w:rFonts w:asciiTheme="majorHAnsi" w:hAnsiTheme="majorHAnsi" w:cstheme="majorHAnsi"/>
                <w:color w:val="1F3864" w:themeColor="accent1" w:themeShade="80"/>
              </w:rPr>
              <w:t>cómo abordaste y/o abordarás</w:t>
            </w:r>
            <w:r w:rsidR="00521026" w:rsidRPr="00CF1EFF">
              <w:rPr>
                <w:rFonts w:asciiTheme="majorHAnsi" w:hAnsiTheme="majorHAnsi" w:cstheme="majorHAnsi"/>
                <w:color w:val="1F3864" w:themeColor="accent1" w:themeShade="80"/>
              </w:rPr>
              <w:t xml:space="preserve"> los obstáculos. Por último, señala los ajustes que realizaste al plan de trabajo a partir de este análisis.</w:t>
            </w:r>
          </w:p>
        </w:tc>
      </w:tr>
    </w:tbl>
    <w:p w14:paraId="4411B7B1" w14:textId="77777777" w:rsidR="0003309E" w:rsidRDefault="0003309E" w:rsidP="0003309E">
      <w:pPr>
        <w:rPr>
          <w:rFonts w:cs="Calibri Light"/>
          <w:color w:val="595959" w:themeColor="text1" w:themeTint="A6"/>
          <w:sz w:val="24"/>
          <w:szCs w:val="24"/>
          <w:lang w:val="es-ES"/>
        </w:rPr>
      </w:pPr>
    </w:p>
    <w:tbl>
      <w:tblPr>
        <w:tblStyle w:val="Tablaconcuadrcula"/>
        <w:tblW w:w="584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923"/>
      </w:tblGrid>
      <w:tr w:rsidR="0003309E" w14:paraId="28E6304B" w14:textId="77777777" w:rsidTr="00CF1EFF">
        <w:trPr>
          <w:cantSplit/>
          <w:trHeight w:val="1697"/>
        </w:trPr>
        <w:tc>
          <w:tcPr>
            <w:tcW w:w="5000" w:type="pct"/>
            <w:vAlign w:val="center"/>
          </w:tcPr>
          <w:p w14:paraId="76C0DB23" w14:textId="77777777" w:rsidR="0003309E" w:rsidRPr="00371CBB" w:rsidRDefault="0003309E" w:rsidP="00C5122E">
            <w:pPr>
              <w:spacing w:before="40" w:after="40"/>
              <w:jc w:val="both"/>
              <w:rPr>
                <w:rFonts w:ascii="Calibri" w:hAnsi="Calibri" w:cs="Arial"/>
                <w:i/>
                <w:iCs/>
                <w:color w:val="548DD4"/>
                <w:sz w:val="20"/>
                <w:szCs w:val="20"/>
                <w:lang w:eastAsia="es-CL"/>
              </w:rPr>
            </w:pPr>
            <w:r>
              <w:rPr>
                <w:rFonts w:ascii="Calibri" w:hAnsi="Calibri"/>
                <w:b/>
                <w:color w:val="1E3A68"/>
                <w:sz w:val="20"/>
              </w:rPr>
              <w:t xml:space="preserve">Factores que han facilitado y/o dificultado el desarrollo de mi plan de trabajo: </w:t>
            </w:r>
          </w:p>
          <w:p w14:paraId="5FA3C5C0" w14:textId="77777777" w:rsidR="005F417C" w:rsidRPr="00CF1EFF" w:rsidRDefault="00000000">
            <w:pPr>
              <w:spacing w:after="40" w:line="259" w:lineRule="auto"/>
              <w:jc w:val="both"/>
              <w:rPr>
                <w:rFonts w:asciiTheme="majorHAnsi" w:hAnsiTheme="majorHAnsi" w:cstheme="majorHAnsi"/>
              </w:rPr>
            </w:pPr>
            <w:r>
              <w:rPr>
                <w:rFonts w:ascii="Calibri" w:hAnsi="Calibri"/>
                <w:color w:val="363D44"/>
                <w:sz w:val="19"/>
              </w:rPr>
              <w:t>Facilitaron el trabajo la definición del MVP, la distribución de roles, los prototipos, el tablero Kanban en Notion y el acceso a PostgreSQL en Neon para revisar el modelo de datos. Las principales dificultades fueron la disponibilidad desigual del equipo y las dependencias entre frontend, API, PWA y persistencia. También fue necesario homogeneizar la documentación; la profesora valoró la base del software, pero pidió revisar especialmente tildes, redacción, botones y formularios. Se afrontaron estos desafíos mediante reorganización de prioridades, revisión de bloqueos y trabajo paralelo con datos de prueba cuando correspondía.</w:t>
            </w:r>
          </w:p>
        </w:tc>
      </w:tr>
    </w:tbl>
    <w:p w14:paraId="21D7630C" w14:textId="77777777" w:rsidR="0003309E" w:rsidRDefault="0003309E" w:rsidP="0003309E">
      <w:pPr>
        <w:rPr>
          <w:rFonts w:cs="Calibri Light"/>
          <w:color w:val="595959" w:themeColor="text1" w:themeTint="A6"/>
          <w:sz w:val="24"/>
          <w:szCs w:val="24"/>
          <w:lang w:val="es-ES"/>
        </w:rPr>
      </w:pPr>
    </w:p>
    <w:tbl>
      <w:tblPr>
        <w:tblStyle w:val="Tablaconcuadrcula"/>
        <w:tblW w:w="584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923"/>
      </w:tblGrid>
      <w:tr w:rsidR="0003309E" w:rsidRPr="00711C16" w14:paraId="0DAB5D81" w14:textId="77777777" w:rsidTr="00CF1EFF">
        <w:trPr>
          <w:cantSplit/>
        </w:trPr>
        <w:tc>
          <w:tcPr>
            <w:tcW w:w="5000" w:type="pct"/>
            <w:vAlign w:val="center"/>
          </w:tcPr>
          <w:p w14:paraId="5EFF86DE" w14:textId="77777777" w:rsidR="0003309E" w:rsidRDefault="0003309E" w:rsidP="00C5122E">
            <w:pPr>
              <w:spacing w:before="40" w:after="40"/>
              <w:jc w:val="both"/>
              <w:rPr>
                <w:rFonts w:ascii="Calibri" w:hAnsi="Calibri" w:cs="Arial"/>
                <w:i/>
                <w:color w:val="548DD4"/>
                <w:sz w:val="20"/>
                <w:szCs w:val="20"/>
                <w:lang w:eastAsia="es-CL"/>
              </w:rPr>
            </w:pPr>
            <w:r>
              <w:rPr>
                <w:rFonts w:ascii="Calibri" w:hAnsi="Calibri"/>
                <w:b/>
                <w:color w:val="1E3A68"/>
                <w:sz w:val="20"/>
              </w:rPr>
              <w:lastRenderedPageBreak/>
              <w:t xml:space="preserve">Actividades ajustadas o eliminadas: </w:t>
            </w:r>
          </w:p>
          <w:p w14:paraId="0BE5E5BE" w14:textId="77777777" w:rsidR="005F417C" w:rsidRDefault="00000000">
            <w:pPr>
              <w:spacing w:after="40" w:line="259" w:lineRule="auto"/>
              <w:jc w:val="both"/>
            </w:pPr>
            <w:r>
              <w:rPr>
                <w:rFonts w:ascii="Calibri" w:hAnsi="Calibri"/>
                <w:color w:val="363D44"/>
                <w:sz w:val="19"/>
              </w:rPr>
              <w:t>Se mantuvo la solución de soporte técnico en terreno presentada en Fase 1 y se precisó su alcance: Panel Web, Portal Cliente y App Técnica PWA conectados a FastAPI y Neon. Para el seguimiento del trabajo se consolidó Kanban en Notion, en vez de sostener sprints Scrum. El modelo de datos se contrastó con el esquema real de Neon. Se priorizaron órdenes, estados, antecedentes Router/SIM, checklist y evidencias; GPS continuo, ruteo dinámico e integraciones empresariales avanzadas permanecen fuera del MVP. Las decisiones sobre almacenamiento de archivos y correos se documentan como previstas cuando su integración no está comprobada.</w:t>
            </w:r>
          </w:p>
        </w:tc>
      </w:tr>
    </w:tbl>
    <w:p w14:paraId="022EC92D" w14:textId="77777777" w:rsidR="0003309E" w:rsidRDefault="0003309E" w:rsidP="0003309E">
      <w:pPr>
        <w:spacing w:after="0" w:line="240" w:lineRule="auto"/>
        <w:jc w:val="both"/>
        <w:rPr>
          <w:rFonts w:ascii="Calibri" w:hAnsi="Calibri" w:cs="Arial"/>
          <w:i/>
          <w:color w:val="548DD4"/>
          <w:sz w:val="20"/>
          <w:szCs w:val="20"/>
          <w:lang w:eastAsia="es-CL"/>
        </w:rPr>
      </w:pPr>
    </w:p>
    <w:p w14:paraId="57E8765F"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84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923"/>
      </w:tblGrid>
      <w:tr w:rsidR="0003309E" w:rsidRPr="00711C16" w14:paraId="6E1DFCCD" w14:textId="77777777" w:rsidTr="00CF1EFF">
        <w:trPr>
          <w:cantSplit/>
        </w:trPr>
        <w:tc>
          <w:tcPr>
            <w:tcW w:w="5000" w:type="pct"/>
            <w:vAlign w:val="center"/>
          </w:tcPr>
          <w:p w14:paraId="0C120F1B" w14:textId="77777777" w:rsidR="0003309E" w:rsidRDefault="0003309E" w:rsidP="00585A13">
            <w:pPr>
              <w:spacing w:before="40" w:after="40"/>
              <w:jc w:val="both"/>
              <w:rPr>
                <w:rFonts w:ascii="Calibri" w:hAnsi="Calibri" w:cs="Arial"/>
                <w:i/>
                <w:color w:val="548DD4"/>
                <w:sz w:val="20"/>
                <w:szCs w:val="20"/>
                <w:lang w:eastAsia="es-CL"/>
              </w:rPr>
            </w:pPr>
            <w:r>
              <w:rPr>
                <w:rFonts w:ascii="Calibri" w:hAnsi="Calibri"/>
                <w:b/>
                <w:color w:val="1E3A68"/>
                <w:sz w:val="20"/>
              </w:rPr>
              <w:t xml:space="preserve">Actividades que no has iniciado o están retrasadas: </w:t>
            </w:r>
          </w:p>
          <w:p w14:paraId="2BDA3B34" w14:textId="77777777" w:rsidR="005F417C" w:rsidRDefault="00000000">
            <w:pPr>
              <w:spacing w:after="40" w:line="259" w:lineRule="auto"/>
              <w:jc w:val="both"/>
            </w:pPr>
            <w:r>
              <w:rPr>
                <w:rFonts w:ascii="Calibri" w:hAnsi="Calibri"/>
                <w:color w:val="363D44"/>
                <w:sz w:val="19"/>
              </w:rPr>
              <w:t>Quedan por verificar y cerrar pruebas integrales del flujo completo, el comportamiento del Portal Cliente con Magic Link, la captura y persistencia de evidencias, el funcionamiento offline de la PWA y la correspondencia entre el catálogo de endpoints y FastAPI. También corresponde revisar los textos visibles del software y preparar evidencias demostrables para Fase 2. No se asigna aquí un atraso en semanas o porcentajes sin un contraste fechado con el Gantt y el tablero Notion. Se priorizarán estos pendientes con responsables y criterios de cierre antes de la entrega.</w:t>
            </w:r>
          </w:p>
        </w:tc>
      </w:tr>
    </w:tbl>
    <w:p w14:paraId="0F78262F"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20D11" w14:textId="77777777" w:rsidR="005A53C3" w:rsidRDefault="005A53C3" w:rsidP="0003309E">
      <w:pPr>
        <w:spacing w:after="0" w:line="240" w:lineRule="auto"/>
      </w:pPr>
      <w:r>
        <w:separator/>
      </w:r>
    </w:p>
  </w:endnote>
  <w:endnote w:type="continuationSeparator" w:id="0">
    <w:p w14:paraId="6C36E1E9" w14:textId="77777777" w:rsidR="005A53C3" w:rsidRDefault="005A53C3"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76311" w14:textId="77777777" w:rsidR="005A53C3" w:rsidRDefault="005A53C3" w:rsidP="0003309E">
      <w:pPr>
        <w:spacing w:after="0" w:line="240" w:lineRule="auto"/>
      </w:pPr>
      <w:r>
        <w:separator/>
      </w:r>
    </w:p>
  </w:footnote>
  <w:footnote w:type="continuationSeparator" w:id="0">
    <w:p w14:paraId="085FDE16" w14:textId="77777777" w:rsidR="005A53C3" w:rsidRDefault="005A53C3"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2CC5933A" w14:textId="77777777" w:rsidTr="00C44557">
      <w:trPr>
        <w:trHeight w:val="697"/>
      </w:trPr>
      <w:tc>
        <w:tcPr>
          <w:tcW w:w="5954" w:type="dxa"/>
          <w:tcBorders>
            <w:top w:val="nil"/>
            <w:left w:val="nil"/>
            <w:bottom w:val="nil"/>
            <w:right w:val="nil"/>
          </w:tcBorders>
        </w:tcPr>
        <w:p w14:paraId="108D8260"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1FCF4C75"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6EB4E517"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32324935" wp14:editId="4E2F422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2ADD2E4"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15913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19F9"/>
    <w:rsid w:val="00065341"/>
    <w:rsid w:val="000A1331"/>
    <w:rsid w:val="00145B36"/>
    <w:rsid w:val="00147283"/>
    <w:rsid w:val="003608EA"/>
    <w:rsid w:val="00470CE4"/>
    <w:rsid w:val="004B4D33"/>
    <w:rsid w:val="004B75F6"/>
    <w:rsid w:val="00521026"/>
    <w:rsid w:val="00545F23"/>
    <w:rsid w:val="00563B43"/>
    <w:rsid w:val="00586C9C"/>
    <w:rsid w:val="005A0A7C"/>
    <w:rsid w:val="005A53C3"/>
    <w:rsid w:val="005B4D4A"/>
    <w:rsid w:val="005F417C"/>
    <w:rsid w:val="00603474"/>
    <w:rsid w:val="00675035"/>
    <w:rsid w:val="00675A73"/>
    <w:rsid w:val="006858A7"/>
    <w:rsid w:val="00695E7C"/>
    <w:rsid w:val="006B242E"/>
    <w:rsid w:val="00806DE0"/>
    <w:rsid w:val="0081536B"/>
    <w:rsid w:val="008479F5"/>
    <w:rsid w:val="0085275A"/>
    <w:rsid w:val="008F4D91"/>
    <w:rsid w:val="008F621F"/>
    <w:rsid w:val="009378F7"/>
    <w:rsid w:val="009552E5"/>
    <w:rsid w:val="00976ABB"/>
    <w:rsid w:val="009E52DF"/>
    <w:rsid w:val="00B26705"/>
    <w:rsid w:val="00B31361"/>
    <w:rsid w:val="00B4258F"/>
    <w:rsid w:val="00B8164D"/>
    <w:rsid w:val="00BE1024"/>
    <w:rsid w:val="00C20F3D"/>
    <w:rsid w:val="00C44557"/>
    <w:rsid w:val="00C5122E"/>
    <w:rsid w:val="00CE0AA8"/>
    <w:rsid w:val="00CF1EFF"/>
    <w:rsid w:val="00D67975"/>
    <w:rsid w:val="00D714E2"/>
    <w:rsid w:val="00DF3386"/>
    <w:rsid w:val="00E50368"/>
    <w:rsid w:val="00E77D95"/>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289DC"/>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815</Words>
  <Characters>4486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Guía Estudiante - Desarrollo Proyecto APT - Fase 2 - ATLAS</vt:lpstr>
    </vt:vector>
  </TitlesOfParts>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 Guía 2: Desarrollo Proyecto APT, Fase 2</dc:title>
  <dc:subject>Avance y monitoreo del desarrollo de ATLAS</dc:subject>
  <dc:creator>Cecilia Godoy</dc:creator>
  <cp:keywords/>
  <dc:description/>
  <cp:lastModifiedBy>Diego Jimenez</cp:lastModifiedBy>
  <cp:revision>6</cp:revision>
  <dcterms:created xsi:type="dcterms:W3CDTF">2022-08-24T18:14:00Z</dcterms:created>
  <dcterms:modified xsi:type="dcterms:W3CDTF">2026-10-16T13:48:00Z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