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0A147503" w:rsidR="004F2A8B" w:rsidRDefault="00F86C78" w:rsidP="3D28A338">
            <w:pPr>
              <w:jc w:val="both"/>
              <w:rPr>
                <w:rFonts w:ascii="Calibri" w:hAnsi="Calibri"/>
                <w:b/>
                <w:bCs/>
                <w:color w:val="1F4E79" w:themeColor="accent1" w:themeShade="80"/>
              </w:rPr>
            </w:pPr>
            <w:r w:rsidRPr="00F86C78">
              <w:rPr>
                <w:rFonts w:ascii="Calibri" w:hAnsi="Calibri"/>
                <w:b/>
                <w:bCs/>
                <w:color w:val="1F4E79" w:themeColor="accent1" w:themeShade="80"/>
              </w:rPr>
              <w:t xml:space="preserve">No logré cumplir la totalidad de las actividades dentro de los plazos establecidos en la carta Gantt, acumulando retrasos en la entrega de algunos módulos del </w:t>
            </w:r>
            <w:proofErr w:type="spellStart"/>
            <w:r w:rsidRPr="00F86C78">
              <w:rPr>
                <w:rFonts w:ascii="Calibri" w:hAnsi="Calibri"/>
                <w:b/>
                <w:bCs/>
                <w:color w:val="1F4E79" w:themeColor="accent1" w:themeShade="80"/>
              </w:rPr>
              <w:t>backend</w:t>
            </w:r>
            <w:proofErr w:type="spellEnd"/>
            <w:r w:rsidRPr="00F86C78">
              <w:rPr>
                <w:rFonts w:ascii="Calibri" w:hAnsi="Calibri"/>
                <w:b/>
                <w:bCs/>
                <w:color w:val="1F4E79" w:themeColor="accent1" w:themeShade="80"/>
              </w:rPr>
              <w:t xml:space="preserve">. Entre los factores facilitadores destacó el uso de </w:t>
            </w:r>
            <w:proofErr w:type="spellStart"/>
            <w:r w:rsidRPr="00F86C78">
              <w:rPr>
                <w:rFonts w:ascii="Calibri" w:hAnsi="Calibri"/>
                <w:b/>
                <w:bCs/>
                <w:color w:val="1F4E79" w:themeColor="accent1" w:themeShade="80"/>
              </w:rPr>
              <w:t>FastAPI</w:t>
            </w:r>
            <w:proofErr w:type="spellEnd"/>
            <w:r w:rsidRPr="00F86C78">
              <w:rPr>
                <w:rFonts w:ascii="Calibri" w:hAnsi="Calibri"/>
                <w:b/>
                <w:bCs/>
                <w:color w:val="1F4E79" w:themeColor="accent1" w:themeShade="80"/>
              </w:rPr>
              <w:t xml:space="preserve"> y </w:t>
            </w:r>
            <w:proofErr w:type="spellStart"/>
            <w:r w:rsidRPr="00F86C78">
              <w:rPr>
                <w:rFonts w:ascii="Calibri" w:hAnsi="Calibri"/>
                <w:b/>
                <w:bCs/>
                <w:color w:val="1F4E79" w:themeColor="accent1" w:themeShade="80"/>
              </w:rPr>
              <w:t>Pydantic</w:t>
            </w:r>
            <w:proofErr w:type="spellEnd"/>
            <w:r w:rsidRPr="00F86C78">
              <w:rPr>
                <w:rFonts w:ascii="Calibri" w:hAnsi="Calibri"/>
                <w:b/>
                <w:bCs/>
                <w:color w:val="1F4E79" w:themeColor="accent1" w:themeShade="80"/>
              </w:rPr>
              <w:t xml:space="preserve">, ya que la documentación Swagger y la validación automática simplificaron la verificación de los </w:t>
            </w:r>
            <w:proofErr w:type="spellStart"/>
            <w:r w:rsidRPr="00F86C78">
              <w:rPr>
                <w:rFonts w:ascii="Calibri" w:hAnsi="Calibri"/>
                <w:b/>
                <w:bCs/>
                <w:color w:val="1F4E79" w:themeColor="accent1" w:themeShade="80"/>
              </w:rPr>
              <w:t>endpoints</w:t>
            </w:r>
            <w:proofErr w:type="spellEnd"/>
            <w:r w:rsidRPr="00F86C78">
              <w:rPr>
                <w:rFonts w:ascii="Calibri" w:hAnsi="Calibri"/>
                <w:b/>
                <w:bCs/>
                <w:color w:val="1F4E79" w:themeColor="accent1" w:themeShade="80"/>
              </w:rPr>
              <w:t>. No obstante, el atraso se originó principalmente por la complejidad adicional al estructurar y validar el flujo de autenticación mediante Magic Links, sumado a ajustes de último momento en las estructuras de datos que demandaron más tiempo del presupuestado.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06FBCBB0" w:rsidR="004F2A8B" w:rsidRDefault="00F86C78" w:rsidP="3D28A338">
            <w:pPr>
              <w:jc w:val="both"/>
              <w:rPr>
                <w:rFonts w:ascii="Calibri" w:hAnsi="Calibri"/>
                <w:b/>
                <w:bCs/>
                <w:color w:val="1F4E79" w:themeColor="accent1" w:themeShade="80"/>
              </w:rPr>
            </w:pPr>
            <w:r w:rsidRPr="00F86C78">
              <w:rPr>
                <w:rFonts w:ascii="Calibri" w:hAnsi="Calibri"/>
                <w:b/>
                <w:bCs/>
                <w:color w:val="1F4E79" w:themeColor="accent1" w:themeShade="80"/>
              </w:rPr>
              <w:t xml:space="preserve">Para amortiguar el impacto de los desfases, establecí la documentación Swagger autogenerada como el contrato definitivo y prioritario con el equipo, logrando que el desarrollo </w:t>
            </w:r>
            <w:proofErr w:type="spellStart"/>
            <w:r w:rsidRPr="00F86C78">
              <w:rPr>
                <w:rFonts w:ascii="Calibri" w:hAnsi="Calibri"/>
                <w:b/>
                <w:bCs/>
                <w:color w:val="1F4E79" w:themeColor="accent1" w:themeShade="80"/>
              </w:rPr>
              <w:t>frontend</w:t>
            </w:r>
            <w:proofErr w:type="spellEnd"/>
            <w:r w:rsidRPr="00F86C78">
              <w:rPr>
                <w:rFonts w:ascii="Calibri" w:hAnsi="Calibri"/>
                <w:b/>
                <w:bCs/>
                <w:color w:val="1F4E79" w:themeColor="accent1" w:themeShade="80"/>
              </w:rPr>
              <w:t xml:space="preserve"> continuara con esquemas fijos mientras yo completaba la lógica interna. Para abordar la seguridad y caducidad de los tokens de acceso, aislé las pruebas unitarias con clientes HTTP directos. Hacia adelante, planeo compensar los tiempos congelando las especificaciones de entrada y salida antes de codificar, evitando así refactorizaciones tardías y concentrándome estrictamente en el código esencial de cada </w:t>
            </w:r>
            <w:proofErr w:type="spellStart"/>
            <w:r w:rsidRPr="00F86C78">
              <w:rPr>
                <w:rFonts w:ascii="Calibri" w:hAnsi="Calibri"/>
                <w:b/>
                <w:bCs/>
                <w:color w:val="1F4E79" w:themeColor="accent1" w:themeShade="80"/>
              </w:rPr>
              <w:t>endpoint</w:t>
            </w:r>
            <w:proofErr w:type="spellEnd"/>
            <w:r w:rsidRPr="00F86C78">
              <w:rPr>
                <w:rFonts w:ascii="Calibri" w:hAnsi="Calibri"/>
                <w:b/>
                <w:bCs/>
                <w:color w:val="1F4E79" w:themeColor="accent1" w:themeShade="80"/>
              </w:rPr>
              <w:t>.</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1ABE8704" w:rsidR="004F2A8B" w:rsidRDefault="00F86C78" w:rsidP="3D28A338">
            <w:pPr>
              <w:jc w:val="both"/>
              <w:rPr>
                <w:rFonts w:ascii="Calibri" w:hAnsi="Calibri"/>
                <w:b/>
                <w:bCs/>
                <w:color w:val="1F4E79" w:themeColor="accent1" w:themeShade="80"/>
              </w:rPr>
            </w:pPr>
            <w:r w:rsidRPr="00F86C78">
              <w:rPr>
                <w:rFonts w:ascii="Calibri" w:hAnsi="Calibri"/>
                <w:b/>
                <w:bCs/>
                <w:color w:val="1F4E79" w:themeColor="accent1" w:themeShade="80"/>
              </w:rPr>
              <w:t xml:space="preserve">Evalúo mi trabajo como regular a bueno, reconociendo que los retrasos en las entregas afectaron la sincronización con el equipo, pero valorando que la arquitectura construida es sólida y modular. Destaco la implementación de validaciones estrictas en </w:t>
            </w:r>
            <w:proofErr w:type="spellStart"/>
            <w:r w:rsidRPr="00F86C78">
              <w:rPr>
                <w:rFonts w:ascii="Calibri" w:hAnsi="Calibri"/>
                <w:b/>
                <w:bCs/>
                <w:color w:val="1F4E79" w:themeColor="accent1" w:themeShade="80"/>
              </w:rPr>
              <w:t>Pydantic</w:t>
            </w:r>
            <w:proofErr w:type="spellEnd"/>
            <w:r w:rsidRPr="00F86C78">
              <w:rPr>
                <w:rFonts w:ascii="Calibri" w:hAnsi="Calibri"/>
                <w:b/>
                <w:bCs/>
                <w:color w:val="1F4E79" w:themeColor="accent1" w:themeShade="80"/>
              </w:rPr>
              <w:t xml:space="preserve"> que garantizan la integridad de las peticiones, así como la correcta operatividad del sistema de acceso por correo. Para mejorar mi rendimiento en la siguiente etapa, debo ajustar de forma más realista mis estimaciones temporales en tareas de alta complejidad y aumentar la cobertura de pruebas de integración para prevenir errores previos al ensamblaje final.</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00FB9ACC" w:rsidR="004F2A8B" w:rsidRDefault="00F86C78" w:rsidP="3D28A338">
            <w:pPr>
              <w:jc w:val="both"/>
              <w:rPr>
                <w:rFonts w:ascii="Calibri" w:hAnsi="Calibri"/>
                <w:b/>
                <w:bCs/>
                <w:color w:val="1F4E79" w:themeColor="accent1" w:themeShade="80"/>
              </w:rPr>
            </w:pPr>
            <w:r w:rsidRPr="00F86C78">
              <w:rPr>
                <w:rFonts w:ascii="Calibri" w:hAnsi="Calibri"/>
                <w:b/>
                <w:bCs/>
                <w:color w:val="1F4E79" w:themeColor="accent1" w:themeShade="80"/>
              </w:rPr>
              <w:t xml:space="preserve">Mi principal inquietud radica en cómo amortiguar la deuda técnica y de plazos en las pruebas de integración con el </w:t>
            </w:r>
            <w:proofErr w:type="spellStart"/>
            <w:r w:rsidRPr="00F86C78">
              <w:rPr>
                <w:rFonts w:ascii="Calibri" w:hAnsi="Calibri"/>
                <w:b/>
                <w:bCs/>
                <w:color w:val="1F4E79" w:themeColor="accent1" w:themeShade="80"/>
              </w:rPr>
              <w:t>frontend</w:t>
            </w:r>
            <w:proofErr w:type="spellEnd"/>
            <w:r w:rsidRPr="00F86C78">
              <w:rPr>
                <w:rFonts w:ascii="Calibri" w:hAnsi="Calibri"/>
                <w:b/>
                <w:bCs/>
                <w:color w:val="1F4E79" w:themeColor="accent1" w:themeShade="80"/>
              </w:rPr>
              <w:t xml:space="preserve"> sin comprometer la estabilidad del sistema ni la fecha límite final. En este sentido, la pregunta concreta para el docente sería: ¿qué nivel de profundidad y formalidad en las pruebas de integración entre microservicios o interfaces se espera como estándar mínimo para la defensa técnica de esta fase del p</w:t>
            </w:r>
            <w:r>
              <w:rPr>
                <w:rFonts w:ascii="Calibri" w:hAnsi="Calibri"/>
                <w:b/>
                <w:bCs/>
                <w:color w:val="1F4E79" w:themeColor="accent1" w:themeShade="80"/>
              </w:rPr>
              <w:t>royecto</w:t>
            </w:r>
            <w:r w:rsidRPr="00F86C78">
              <w:rPr>
                <w:rFonts w:ascii="Calibri" w:hAnsi="Calibri"/>
                <w:b/>
                <w:bCs/>
                <w:color w:val="1F4E79" w:themeColor="accent1" w:themeShade="80"/>
              </w:rPr>
              <w:t>?</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49489CDA" w:rsidR="004F2A8B" w:rsidRDefault="00F86C78" w:rsidP="3D28A338">
            <w:pPr>
              <w:jc w:val="both"/>
              <w:rPr>
                <w:rFonts w:eastAsiaTheme="majorEastAsia"/>
                <w:color w:val="767171" w:themeColor="background2" w:themeShade="80"/>
                <w:sz w:val="24"/>
                <w:szCs w:val="24"/>
              </w:rPr>
            </w:pPr>
            <w:r w:rsidRPr="00F86C78">
              <w:rPr>
                <w:rFonts w:eastAsiaTheme="majorEastAsia"/>
                <w:color w:val="767171" w:themeColor="background2" w:themeShade="80"/>
                <w:sz w:val="24"/>
                <w:szCs w:val="24"/>
              </w:rPr>
              <w:t xml:space="preserve">No considero necesario redistribuir los roles principales, ya que mantener el </w:t>
            </w:r>
            <w:proofErr w:type="spellStart"/>
            <w:r w:rsidRPr="00F86C78">
              <w:rPr>
                <w:rFonts w:eastAsiaTheme="majorEastAsia"/>
                <w:color w:val="767171" w:themeColor="background2" w:themeShade="80"/>
                <w:sz w:val="24"/>
                <w:szCs w:val="24"/>
              </w:rPr>
              <w:t>backend</w:t>
            </w:r>
            <w:proofErr w:type="spellEnd"/>
            <w:r w:rsidRPr="00F86C78">
              <w:rPr>
                <w:rFonts w:eastAsiaTheme="majorEastAsia"/>
                <w:color w:val="767171" w:themeColor="background2" w:themeShade="80"/>
                <w:sz w:val="24"/>
                <w:szCs w:val="24"/>
              </w:rPr>
              <w:t xml:space="preserve"> separado del </w:t>
            </w:r>
            <w:proofErr w:type="spellStart"/>
            <w:r w:rsidRPr="00F86C78">
              <w:rPr>
                <w:rFonts w:eastAsiaTheme="majorEastAsia"/>
                <w:color w:val="767171" w:themeColor="background2" w:themeShade="80"/>
                <w:sz w:val="24"/>
                <w:szCs w:val="24"/>
              </w:rPr>
              <w:t>frontend</w:t>
            </w:r>
            <w:proofErr w:type="spellEnd"/>
            <w:r w:rsidRPr="00F86C78">
              <w:rPr>
                <w:rFonts w:eastAsiaTheme="majorEastAsia"/>
                <w:color w:val="767171" w:themeColor="background2" w:themeShade="80"/>
                <w:sz w:val="24"/>
                <w:szCs w:val="24"/>
              </w:rPr>
              <w:t xml:space="preserve"> y la base de datos sigue siendo la forma más ordenada de avanzar. Sin embargo, resulta indispensable formalizar e incorporar de inmediato la actividad de pruebas conjuntas de integración de API, además de asignar tareas específicas dedicadas al despliegue del entorno de prueba en la nube, asegurando que ambos frentes se conecten adecuadamente antes de la entrega final.</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39A6F94" w14:textId="675660CC" w:rsidR="004F2A8B" w:rsidRDefault="00F86C78" w:rsidP="3D28A338">
            <w:pPr>
              <w:jc w:val="both"/>
              <w:rPr>
                <w:rFonts w:eastAsiaTheme="majorEastAsia"/>
                <w:color w:val="767171" w:themeColor="background2" w:themeShade="80"/>
                <w:sz w:val="24"/>
                <w:szCs w:val="24"/>
              </w:rPr>
            </w:pPr>
            <w:r w:rsidRPr="00F86C78">
              <w:rPr>
                <w:rFonts w:eastAsiaTheme="majorEastAsia"/>
                <w:color w:val="767171" w:themeColor="background2" w:themeShade="80"/>
                <w:sz w:val="24"/>
                <w:szCs w:val="24"/>
              </w:rPr>
              <w:t xml:space="preserve">Evalúo el trabajo en grupo de manera positiva, </w:t>
            </w:r>
            <w:proofErr w:type="gramStart"/>
            <w:r w:rsidRPr="00F86C78">
              <w:rPr>
                <w:rFonts w:eastAsiaTheme="majorEastAsia"/>
                <w:color w:val="767171" w:themeColor="background2" w:themeShade="80"/>
                <w:sz w:val="24"/>
                <w:szCs w:val="24"/>
              </w:rPr>
              <w:t>ya que</w:t>
            </w:r>
            <w:proofErr w:type="gramEnd"/>
            <w:r w:rsidRPr="00F86C78">
              <w:rPr>
                <w:rFonts w:eastAsiaTheme="majorEastAsia"/>
                <w:color w:val="767171" w:themeColor="background2" w:themeShade="80"/>
                <w:sz w:val="24"/>
                <w:szCs w:val="24"/>
              </w:rPr>
              <w:t xml:space="preserve"> a pesar de mis atrasos puntuales en el </w:t>
            </w:r>
            <w:proofErr w:type="spellStart"/>
            <w:r w:rsidRPr="00F86C78">
              <w:rPr>
                <w:rFonts w:eastAsiaTheme="majorEastAsia"/>
                <w:color w:val="767171" w:themeColor="background2" w:themeShade="80"/>
                <w:sz w:val="24"/>
                <w:szCs w:val="24"/>
              </w:rPr>
              <w:t>backend</w:t>
            </w:r>
            <w:proofErr w:type="spellEnd"/>
            <w:r w:rsidRPr="00F86C78">
              <w:rPr>
                <w:rFonts w:eastAsiaTheme="majorEastAsia"/>
                <w:color w:val="767171" w:themeColor="background2" w:themeShade="80"/>
                <w:sz w:val="24"/>
                <w:szCs w:val="24"/>
              </w:rPr>
              <w:t xml:space="preserve">, el equipo mantuvo una comunicación transparente y flexible para no bloquear el avance global. Destaco el respeto mutuo por las áreas de especialización y la buena disposición técnica para adaptar el </w:t>
            </w:r>
            <w:proofErr w:type="spellStart"/>
            <w:r w:rsidRPr="00F86C78">
              <w:rPr>
                <w:rFonts w:eastAsiaTheme="majorEastAsia"/>
                <w:color w:val="767171" w:themeColor="background2" w:themeShade="80"/>
                <w:sz w:val="24"/>
                <w:szCs w:val="24"/>
              </w:rPr>
              <w:t>frontend</w:t>
            </w:r>
            <w:proofErr w:type="spellEnd"/>
            <w:r w:rsidRPr="00F86C78">
              <w:rPr>
                <w:rFonts w:eastAsiaTheme="majorEastAsia"/>
                <w:color w:val="767171" w:themeColor="background2" w:themeShade="80"/>
                <w:sz w:val="24"/>
                <w:szCs w:val="24"/>
              </w:rPr>
              <w:t xml:space="preserve"> conforme se fueron liberando los servicios. Como aspecto claro a mejorar, debemos establecer puntos de control intermedios más frecuentes durante la semana para detectar tempranamente desviaciones en los cronogramas individuales antes de que se vuelvan retrasos críticos.</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4BEFE" w14:textId="77777777" w:rsidR="007A32D2" w:rsidRDefault="007A32D2" w:rsidP="00DF38AE">
      <w:pPr>
        <w:spacing w:after="0" w:line="240" w:lineRule="auto"/>
      </w:pPr>
      <w:r>
        <w:separator/>
      </w:r>
    </w:p>
  </w:endnote>
  <w:endnote w:type="continuationSeparator" w:id="0">
    <w:p w14:paraId="1D1A828F" w14:textId="77777777" w:rsidR="007A32D2" w:rsidRDefault="007A32D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C7736" w14:textId="77777777" w:rsidR="007A32D2" w:rsidRDefault="007A32D2" w:rsidP="00DF38AE">
      <w:pPr>
        <w:spacing w:after="0" w:line="240" w:lineRule="auto"/>
      </w:pPr>
      <w:r>
        <w:separator/>
      </w:r>
    </w:p>
  </w:footnote>
  <w:footnote w:type="continuationSeparator" w:id="0">
    <w:p w14:paraId="25FDA815" w14:textId="77777777" w:rsidR="007A32D2" w:rsidRDefault="007A32D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95159162">
    <w:abstractNumId w:val="3"/>
  </w:num>
  <w:num w:numId="2" w16cid:durableId="833956274">
    <w:abstractNumId w:val="8"/>
  </w:num>
  <w:num w:numId="3" w16cid:durableId="1477141769">
    <w:abstractNumId w:val="12"/>
  </w:num>
  <w:num w:numId="4" w16cid:durableId="250822650">
    <w:abstractNumId w:val="28"/>
  </w:num>
  <w:num w:numId="5" w16cid:durableId="607127174">
    <w:abstractNumId w:val="30"/>
  </w:num>
  <w:num w:numId="6" w16cid:durableId="1610887616">
    <w:abstractNumId w:val="4"/>
  </w:num>
  <w:num w:numId="7" w16cid:durableId="748501178">
    <w:abstractNumId w:val="11"/>
  </w:num>
  <w:num w:numId="8" w16cid:durableId="1765877336">
    <w:abstractNumId w:val="19"/>
  </w:num>
  <w:num w:numId="9" w16cid:durableId="1621765667">
    <w:abstractNumId w:val="15"/>
  </w:num>
  <w:num w:numId="10" w16cid:durableId="1787969454">
    <w:abstractNumId w:val="9"/>
  </w:num>
  <w:num w:numId="11" w16cid:durableId="1547374669">
    <w:abstractNumId w:val="24"/>
  </w:num>
  <w:num w:numId="12" w16cid:durableId="527257667">
    <w:abstractNumId w:val="35"/>
  </w:num>
  <w:num w:numId="13" w16cid:durableId="2123380800">
    <w:abstractNumId w:val="29"/>
  </w:num>
  <w:num w:numId="14" w16cid:durableId="2092728120">
    <w:abstractNumId w:val="1"/>
  </w:num>
  <w:num w:numId="15" w16cid:durableId="2091658142">
    <w:abstractNumId w:val="36"/>
  </w:num>
  <w:num w:numId="16" w16cid:durableId="1888443455">
    <w:abstractNumId w:val="21"/>
  </w:num>
  <w:num w:numId="17" w16cid:durableId="1751805216">
    <w:abstractNumId w:val="17"/>
  </w:num>
  <w:num w:numId="18" w16cid:durableId="1996953164">
    <w:abstractNumId w:val="31"/>
  </w:num>
  <w:num w:numId="19" w16cid:durableId="1203636161">
    <w:abstractNumId w:val="10"/>
  </w:num>
  <w:num w:numId="20" w16cid:durableId="163009023">
    <w:abstractNumId w:val="39"/>
  </w:num>
  <w:num w:numId="21" w16cid:durableId="1394886232">
    <w:abstractNumId w:val="34"/>
  </w:num>
  <w:num w:numId="22" w16cid:durableId="1901745088">
    <w:abstractNumId w:val="13"/>
  </w:num>
  <w:num w:numId="23" w16cid:durableId="1774477027">
    <w:abstractNumId w:val="14"/>
  </w:num>
  <w:num w:numId="24" w16cid:durableId="1774088175">
    <w:abstractNumId w:val="5"/>
  </w:num>
  <w:num w:numId="25" w16cid:durableId="594438097">
    <w:abstractNumId w:val="16"/>
  </w:num>
  <w:num w:numId="26" w16cid:durableId="760299003">
    <w:abstractNumId w:val="20"/>
  </w:num>
  <w:num w:numId="27" w16cid:durableId="1676809810">
    <w:abstractNumId w:val="23"/>
  </w:num>
  <w:num w:numId="28" w16cid:durableId="1678071680">
    <w:abstractNumId w:val="0"/>
  </w:num>
  <w:num w:numId="29" w16cid:durableId="1538661274">
    <w:abstractNumId w:val="18"/>
  </w:num>
  <w:num w:numId="30" w16cid:durableId="1349213190">
    <w:abstractNumId w:val="22"/>
  </w:num>
  <w:num w:numId="31" w16cid:durableId="1508252258">
    <w:abstractNumId w:val="2"/>
  </w:num>
  <w:num w:numId="32" w16cid:durableId="2016493882">
    <w:abstractNumId w:val="7"/>
  </w:num>
  <w:num w:numId="33" w16cid:durableId="837812487">
    <w:abstractNumId w:val="32"/>
  </w:num>
  <w:num w:numId="34" w16cid:durableId="1009021382">
    <w:abstractNumId w:val="38"/>
  </w:num>
  <w:num w:numId="35" w16cid:durableId="267276615">
    <w:abstractNumId w:val="6"/>
  </w:num>
  <w:num w:numId="36" w16cid:durableId="949824431">
    <w:abstractNumId w:val="25"/>
  </w:num>
  <w:num w:numId="37" w16cid:durableId="1855848663">
    <w:abstractNumId w:val="37"/>
  </w:num>
  <w:num w:numId="38" w16cid:durableId="3827154">
    <w:abstractNumId w:val="27"/>
  </w:num>
  <w:num w:numId="39" w16cid:durableId="558637864">
    <w:abstractNumId w:val="26"/>
  </w:num>
  <w:num w:numId="40" w16cid:durableId="92033807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32D2"/>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49F7"/>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86C78"/>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3</Pages>
  <Words>747</Words>
  <Characters>4111</Characters>
  <Application>Microsoft Office Word</Application>
  <DocSecurity>0</DocSecurity>
  <Lines>34</Lines>
  <Paragraphs>9</Paragraphs>
  <ScaleCrop>false</ScaleCrop>
  <Company>Wal-Mart Stores, Inc.</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Joaquín Mendoza</cp:lastModifiedBy>
  <cp:revision>43</cp:revision>
  <cp:lastPrinted>2019-12-16T20:10:00Z</cp:lastPrinted>
  <dcterms:created xsi:type="dcterms:W3CDTF">2021-12-31T12:50:00Z</dcterms:created>
  <dcterms:modified xsi:type="dcterms:W3CDTF">2026-10-23T02:32:00Z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