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9F4E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0C300F" wp14:editId="759C7B93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DFEE6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728BA03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074D3B1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0C300F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7CFDFEE6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3728BA03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074D3B1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4D542BD5" w14:textId="77777777" w:rsidR="001202BF" w:rsidRDefault="001202BF" w:rsidP="001202BF"/>
    <w:p w14:paraId="31226292" w14:textId="77777777" w:rsidR="001202BF" w:rsidRDefault="001202BF" w:rsidP="001202BF"/>
    <w:p w14:paraId="0F2C4CDD" w14:textId="77777777" w:rsidR="001202BF" w:rsidRDefault="001202BF" w:rsidP="001202BF"/>
    <w:p w14:paraId="318D7B40" w14:textId="77777777" w:rsidR="001202BF" w:rsidRPr="00747ECB" w:rsidRDefault="001202BF" w:rsidP="001202BF"/>
    <w:p w14:paraId="1BBE0C3C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64E8264C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06EBCE52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39121CE8" w14:textId="77777777" w:rsidR="001202BF" w:rsidRPr="00BF2EA6" w:rsidRDefault="001202BF" w:rsidP="000C587E">
            <w:pPr>
              <w:widowControl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04857A8B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60B74C17" w14:textId="77777777" w:rsidR="001202BF" w:rsidRPr="007C1901" w:rsidRDefault="001202BF" w:rsidP="006B7645">
            <w:pPr>
              <w:pStyle w:val="Piedepgina"/>
              <w:widowControl/>
              <w:jc w:val="both"/>
              <w:rPr>
                <w:rFonts w:asciiTheme="majorHAnsi" w:hAnsiTheme="majorHAnsi" w:cstheme="majorHAnsi"/>
                <w:color w:val="1F3864" w:themeColor="accent1" w:themeShade="80"/>
              </w:rPr>
            </w:pP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>El objetivo de est</w:t>
            </w:r>
            <w:r w:rsidR="000C587E" w:rsidRPr="007C1901">
              <w:rPr>
                <w:rFonts w:asciiTheme="majorHAnsi" w:hAnsiTheme="majorHAnsi" w:cstheme="majorHAnsi"/>
                <w:color w:val="1F3864" w:themeColor="accent1" w:themeShade="80"/>
              </w:rPr>
              <w:t>e</w:t>
            </w: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 xml:space="preserve"> </w:t>
            </w:r>
            <w:r w:rsidR="000C587E" w:rsidRPr="007C1901">
              <w:rPr>
                <w:rFonts w:asciiTheme="majorHAnsi" w:hAnsiTheme="majorHAnsi" w:cstheme="majorHAnsi"/>
                <w:color w:val="1F3864" w:themeColor="accent1" w:themeShade="80"/>
              </w:rPr>
              <w:t>informe</w:t>
            </w: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 xml:space="preserve"> es que describas los aspectos más relevantes de tu </w:t>
            </w:r>
            <w:r w:rsidR="006B7645" w:rsidRPr="007C1901">
              <w:rPr>
                <w:rFonts w:asciiTheme="majorHAnsi" w:hAnsiTheme="majorHAnsi" w:cstheme="majorHAnsi"/>
                <w:color w:val="1F3864" w:themeColor="accent1" w:themeShade="80"/>
              </w:rPr>
              <w:t>Proyecto APT. Es importante que</w:t>
            </w: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 xml:space="preserve"> fundament</w:t>
            </w:r>
            <w:r w:rsidR="006B7645" w:rsidRPr="007C1901">
              <w:rPr>
                <w:rFonts w:asciiTheme="majorHAnsi" w:hAnsiTheme="majorHAnsi" w:cstheme="majorHAnsi"/>
                <w:color w:val="1F3864" w:themeColor="accent1" w:themeShade="80"/>
              </w:rPr>
              <w:t>es las</w:t>
            </w: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 xml:space="preserve"> decisiones que tuviste que tomar a lo largo del proceso. </w:t>
            </w:r>
          </w:p>
          <w:p w14:paraId="72EEF18F" w14:textId="77777777" w:rsidR="00B0399B" w:rsidRPr="007C1901" w:rsidRDefault="00B0399B" w:rsidP="006B7645">
            <w:pPr>
              <w:pStyle w:val="Piedepgina"/>
              <w:widowControl/>
              <w:jc w:val="both"/>
              <w:rPr>
                <w:rFonts w:asciiTheme="majorHAnsi" w:hAnsiTheme="majorHAnsi" w:cstheme="majorHAnsi"/>
                <w:color w:val="1F3864" w:themeColor="accent1" w:themeShade="80"/>
              </w:rPr>
            </w:pPr>
          </w:p>
          <w:p w14:paraId="53B5E7AB" w14:textId="77777777" w:rsidR="000C587E" w:rsidRPr="00386458" w:rsidRDefault="000C587E" w:rsidP="006B7645">
            <w:pPr>
              <w:pStyle w:val="Piedepgina"/>
              <w:widowControl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>A continuación, encontrarás distintos campos que deberás completar</w:t>
            </w:r>
            <w:r w:rsidR="006B7645" w:rsidRPr="007C1901">
              <w:rPr>
                <w:rFonts w:asciiTheme="majorHAnsi" w:hAnsiTheme="majorHAnsi" w:cstheme="majorHAnsi"/>
                <w:color w:val="1F3864" w:themeColor="accent1" w:themeShade="80"/>
              </w:rPr>
              <w:t xml:space="preserve"> con la información solicitada, los</w:t>
            </w: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 xml:space="preserve"> que </w:t>
            </w:r>
            <w:r w:rsidR="006B7645" w:rsidRPr="007C1901">
              <w:rPr>
                <w:rFonts w:asciiTheme="majorHAnsi" w:hAnsiTheme="majorHAnsi" w:cstheme="majorHAnsi"/>
                <w:color w:val="1F3864" w:themeColor="accent1" w:themeShade="80"/>
              </w:rPr>
              <w:t>dan</w:t>
            </w: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0FBADDCC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1B8CFFCF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0EDB9089" w14:textId="77777777" w:rsidR="00050706" w:rsidRPr="007C1901" w:rsidRDefault="00050706" w:rsidP="00E42375">
            <w:pPr>
              <w:widowControl/>
              <w:rPr>
                <w:rFonts w:asciiTheme="majorHAnsi" w:hAnsiTheme="majorHAnsi" w:cstheme="majorHAnsi"/>
                <w:color w:val="1F3864" w:themeColor="accent1" w:themeShade="80"/>
              </w:rPr>
            </w:pP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18449ECE" w14:textId="77777777" w:rsidR="00F63346" w:rsidRPr="007C1901" w:rsidRDefault="00000000">
            <w:pPr>
              <w:keepLines/>
              <w:widowControl/>
              <w:spacing w:after="60" w:line="264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C1901">
              <w:rPr>
                <w:rFonts w:asciiTheme="majorHAnsi" w:hAnsiTheme="majorHAnsi" w:cstheme="majorHAnsi"/>
                <w:b/>
                <w:color w:val="1F3864"/>
                <w:sz w:val="20"/>
                <w:szCs w:val="20"/>
              </w:rPr>
              <w:t>ATLAS — Plataforma de Registro Operativo y Trazabilidad para Soporte en Terreno</w:t>
            </w:r>
          </w:p>
        </w:tc>
      </w:tr>
      <w:tr w:rsidR="00050706" w:rsidRPr="00B4008E" w14:paraId="1F2758EA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0B3E59CE" w14:textId="77777777" w:rsidR="00050706" w:rsidRPr="007C1901" w:rsidRDefault="00050706" w:rsidP="00E42375">
            <w:pPr>
              <w:widowControl/>
              <w:rPr>
                <w:rFonts w:asciiTheme="majorHAnsi" w:hAnsiTheme="majorHAnsi" w:cstheme="majorHAnsi"/>
                <w:color w:val="1F3864" w:themeColor="accent1" w:themeShade="80"/>
              </w:rPr>
            </w:pP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35ABE971" w14:textId="7D9EFB1B" w:rsidR="00F63346" w:rsidRPr="007C1901" w:rsidRDefault="00000000" w:rsidP="007C1901">
            <w:pPr>
              <w:keepNext w:val="0"/>
              <w:keepLines/>
              <w:widowControl/>
              <w:spacing w:after="2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color w:val="22395B"/>
                <w:sz w:val="19"/>
              </w:rPr>
              <w:t>Desarrollo de software; análisis y diseño de sistemas; modelado y gestión de bases de datos; gestión de proyectos TI; experiencia de usuario y aseguramiento de calidad.</w:t>
            </w:r>
          </w:p>
        </w:tc>
      </w:tr>
      <w:tr w:rsidR="00050706" w:rsidRPr="00B4008E" w14:paraId="0EAEF348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438AB9B6" w14:textId="77777777" w:rsidR="00050706" w:rsidRPr="007C1901" w:rsidRDefault="00050706" w:rsidP="00E42375">
            <w:pPr>
              <w:widowControl/>
              <w:rPr>
                <w:rFonts w:asciiTheme="majorHAnsi" w:hAnsiTheme="majorHAnsi" w:cstheme="majorHAnsi"/>
                <w:color w:val="1F3864" w:themeColor="accent1" w:themeShade="80"/>
              </w:rPr>
            </w:pPr>
            <w:r w:rsidRPr="007C1901">
              <w:rPr>
                <w:rFonts w:asciiTheme="majorHAnsi" w:hAnsiTheme="majorHAnsi" w:cstheme="majorHAnsi"/>
                <w:color w:val="1F3864" w:themeColor="accent1" w:themeShade="80"/>
              </w:rPr>
              <w:t xml:space="preserve">Competencias </w:t>
            </w:r>
          </w:p>
          <w:p w14:paraId="3C035781" w14:textId="77777777" w:rsidR="00050706" w:rsidRPr="007C1901" w:rsidRDefault="00050706" w:rsidP="00E42375">
            <w:pPr>
              <w:widowControl/>
              <w:rPr>
                <w:rFonts w:asciiTheme="majorHAnsi" w:hAnsiTheme="majorHAnsi" w:cstheme="majorHAns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B503285" w14:textId="3938E8EC" w:rsidR="007C1901" w:rsidRPr="007C1901" w:rsidRDefault="00000000" w:rsidP="007C1901">
            <w:pPr>
              <w:keepNext w:val="0"/>
              <w:keepLines/>
              <w:widowControl/>
              <w:spacing w:after="20" w:line="264" w:lineRule="auto" w:before="0"/>
              <w:rPr>
                <w:rFonts w:asciiTheme="majorHAnsi" w:hAnsiTheme="majorHAnsi" w:cstheme="majorHAnsi"/>
                <w:color w:val="1F3864"/>
                <w:sz w:val="20"/>
                <w:szCs w:val="20"/>
              </w:rPr>
            </w:pPr>
            <w:r>
              <w:rPr>
                <w:rFonts w:ascii="Cambria" w:hAnsi="Cambria"/>
                <w:color w:val="22395B"/>
                <w:sz w:val="19"/>
              </w:rPr>
              <w:t>Levantamiento y priorización de requisitos; diseño de interfaces web/PWA; desarrollo e integración de API REST; modelado y validación de datos; organización del trabajo con Kanban y revisión de calidad del software.</w:t>
            </w:r>
          </w:p>
        </w:tc>
      </w:tr>
    </w:tbl>
    <w:p w14:paraId="68B7D843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7537E96C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6FF06AA3" w14:textId="77777777" w:rsidR="001202BF" w:rsidRPr="007C1901" w:rsidRDefault="001202BF" w:rsidP="000C587E">
            <w:pPr>
              <w:widowControl/>
              <w:rPr>
                <w:rFonts w:asciiTheme="majorHAnsi" w:hAnsiTheme="majorHAnsi" w:cstheme="majorHAnsi"/>
                <w:b/>
                <w:sz w:val="24"/>
                <w:szCs w:val="32"/>
              </w:rPr>
            </w:pPr>
            <w:r w:rsidRPr="007C1901">
              <w:rPr>
                <w:rFonts w:asciiTheme="majorHAnsi" w:hAnsiTheme="majorHAnsi" w:cstheme="majorHAnsi"/>
                <w:b/>
                <w:color w:val="1F3864" w:themeColor="accent1" w:themeShade="80"/>
                <w:sz w:val="24"/>
                <w:szCs w:val="32"/>
              </w:rPr>
              <w:t>Contenidos de</w:t>
            </w:r>
            <w:r w:rsidR="006B7645" w:rsidRPr="007C1901">
              <w:rPr>
                <w:rFonts w:asciiTheme="majorHAnsi" w:hAnsiTheme="majorHAnsi" w:cstheme="majorHAnsi"/>
                <w:b/>
                <w:color w:val="1F3864" w:themeColor="accent1" w:themeShade="80"/>
                <w:sz w:val="24"/>
                <w:szCs w:val="32"/>
              </w:rPr>
              <w:t>l informe f</w:t>
            </w:r>
            <w:r w:rsidR="000C587E" w:rsidRPr="007C1901">
              <w:rPr>
                <w:rFonts w:asciiTheme="majorHAnsi" w:hAnsiTheme="majorHAnsi" w:cstheme="majorHAnsi"/>
                <w:b/>
                <w:color w:val="1F3864" w:themeColor="accent1" w:themeShade="80"/>
                <w:sz w:val="24"/>
                <w:szCs w:val="32"/>
              </w:rPr>
              <w:t>inal</w:t>
            </w:r>
          </w:p>
        </w:tc>
      </w:tr>
      <w:tr w:rsidR="001202BF" w14:paraId="33F2B7E2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D02B7F6" w14:textId="77777777" w:rsidR="001202BF" w:rsidRPr="00612A14" w:rsidRDefault="001202BF" w:rsidP="00585A13">
            <w:pPr>
              <w:widowControl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7C1901">
              <w:rPr>
                <w:rFonts w:ascii="Calibri" w:hAnsi="Calibri"/>
                <w:color w:val="1F3864" w:themeColor="accent1" w:themeShade="80"/>
                <w:szCs w:val="28"/>
              </w:rPr>
              <w:t xml:space="preserve">1. </w:t>
            </w:r>
            <w:r w:rsidR="00946E78" w:rsidRPr="007C1901" w:rsidDel="008018E6">
              <w:rPr>
                <w:rFonts w:ascii="Calibri" w:hAnsi="Calibri"/>
                <w:color w:val="1F3864" w:themeColor="accent1" w:themeShade="80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C584F93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Problema y contexto. </w:t>
            </w:r>
            <w:r>
              <w:rPr>
                <w:rFonts w:ascii="Cambria" w:hAnsi="Cambria"/>
                <w:color w:val="22395B"/>
                <w:sz w:val="19"/>
              </w:rPr>
              <w:t>La coordinación de soporte técnico en terreno mediante correos, tickets, llamadas y registros dispersos dificulta consultar órdenes, historial de Router/SIM, estados de visita y evidencias en un mismo lugar. ATLAS aborda este problema como caso académico aplicado al sector telecomunicaciones, sin atribuir una implantación productiva en ENTEL.</w:t>
            </w:r>
          </w:p>
          <w:p w14:paraId="12F1BA4F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Usuarios involucrados. </w:t>
            </w:r>
            <w:r>
              <w:rPr>
                <w:rFonts w:ascii="Cambria" w:hAnsi="Cambria"/>
                <w:color w:val="22395B"/>
                <w:sz w:val="19"/>
              </w:rPr>
              <w:t>Los coordinadores requieren programar y seguir atenciones; los técnicos necesitan consultar antecedentes y registrar sus visitas; y las empresas clientes buscan conocer el estado de sus solicitudes.</w:t>
            </w:r>
          </w:p>
          <w:p w14:paraId="5E851E92" w14:textId="77777777" w:rsidR="00F63346" w:rsidRPr="007C1901" w:rsidRDefault="00000000">
            <w:pPr>
              <w:keepNext w:val="0"/>
              <w:keepLines/>
              <w:widowControl/>
              <w:spacing w:after="2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Relevancia y aporte. </w:t>
            </w:r>
            <w:r>
              <w:rPr>
                <w:rFonts w:ascii="Cambria" w:hAnsi="Cambria"/>
                <w:color w:val="22395B"/>
                <w:sz w:val="19"/>
              </w:rPr>
              <w:t>El proyecto propone conectar a estos actores mediante un flujo digital común para mejorar la organización de las atenciones, la trazabilidad de los registros y la visibilidad del servicio. Los beneficios cuantitativos requieren mediciones posteriores.</w:t>
            </w:r>
          </w:p>
        </w:tc>
      </w:tr>
      <w:tr w:rsidR="001202BF" w14:paraId="3FA67F49" w14:textId="77777777" w:rsidTr="7EB51544">
        <w:trPr>
          <w:cantSplit/>
          <w:trHeight w:val="838"/>
        </w:trPr>
        <w:tc>
          <w:tcPr>
            <w:tcW w:w="3001" w:type="dxa"/>
            <w:vAlign w:val="center"/>
          </w:tcPr>
          <w:p w14:paraId="018521B6" w14:textId="77777777" w:rsidR="001202BF" w:rsidRPr="007C1901" w:rsidRDefault="001202BF" w:rsidP="00585A13">
            <w:pPr>
              <w:widowControl/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7C1901">
              <w:rPr>
                <w:rFonts w:ascii="Calibri" w:hAnsi="Calibri"/>
                <w:color w:val="1F3864" w:themeColor="accent1" w:themeShade="80"/>
                <w:szCs w:val="2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B6AF6F7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Objetivo general. </w:t>
            </w:r>
            <w:r>
              <w:rPr>
                <w:rFonts w:ascii="Cambria" w:hAnsi="Cambria"/>
                <w:color w:val="22395B"/>
                <w:sz w:val="19"/>
              </w:rPr>
              <w:t>Desarrollar un MVP de ATLAS para centralizar la coordinación de órdenes y el registro de actividades de soporte técnico en terreno, conectando coordinación, técnicos y empresas clientes con información trazable.</w:t>
            </w:r>
          </w:p>
          <w:p w14:paraId="01915640" w14:textId="77777777" w:rsidR="00F63346" w:rsidRPr="007C1901" w:rsidRDefault="00000000">
            <w:pPr>
              <w:keepNext w:val="0"/>
              <w:keepLines/>
              <w:widowControl/>
              <w:spacing w:after="2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Objetivos específicos. </w:t>
            </w:r>
            <w:r>
              <w:rPr>
                <w:rFonts w:ascii="Cambria" w:hAnsi="Cambria"/>
                <w:color w:val="22395B"/>
                <w:sz w:val="19"/>
              </w:rPr>
              <w:t>1) Definir actores, requisitos y flujo de atención. 2) Diseñar el Panel Web, la App Técnica PWA y el Portal Cliente con acceso mediante Magic Link. 3) Construir e integrar servicios FastAPI con PostgreSQL en Neon para órdenes, equipos Router/SIM y registros técnicos. 4) Verificar el flujo de atención y documentar pruebas, incidencias y mejoras, sin dar por aprobadas funcionalidades no comprobadas.</w:t>
            </w:r>
          </w:p>
        </w:tc>
      </w:tr>
      <w:tr w:rsidR="001202BF" w14:paraId="15A4222A" w14:textId="77777777" w:rsidTr="7EB51544">
        <w:trPr>
          <w:cantSplit/>
        </w:trPr>
        <w:tc>
          <w:tcPr>
            <w:tcW w:w="3001" w:type="dxa"/>
            <w:vAlign w:val="center"/>
          </w:tcPr>
          <w:p w14:paraId="716DE989" w14:textId="77777777" w:rsidR="001202BF" w:rsidRPr="007C1901" w:rsidRDefault="001202BF" w:rsidP="00585A13">
            <w:pPr>
              <w:widowControl/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7C1901">
              <w:rPr>
                <w:rFonts w:ascii="Calibri" w:hAnsi="Calibri"/>
                <w:color w:val="1F3864" w:themeColor="accent1" w:themeShade="80"/>
                <w:szCs w:val="2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0A52628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Método aplicado. </w:t>
            </w:r>
            <w:r>
              <w:rPr>
                <w:rFonts w:ascii="Cambria" w:hAnsi="Cambria"/>
                <w:color w:val="22395B"/>
                <w:sz w:val="19"/>
              </w:rPr>
              <w:t>Kanban es el método principal de organización del equipo. En Notion se utilizan estados de trabajo como Backlog, To Do, In Progress, Review y Done para visualizar tareas, responsables, prioridades y bloqueos. No se declara una ejecución basada en sprints de Scrum.</w:t>
            </w:r>
          </w:p>
          <w:p w14:paraId="7AB589E5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Forma de trabajo. </w:t>
            </w:r>
            <w:r>
              <w:rPr>
                <w:rFonts w:ascii="Cambria" w:hAnsi="Cambria"/>
                <w:color w:val="22395B"/>
                <w:sz w:val="19"/>
              </w:rPr>
              <w:t>Los integrantes avanzan en paralelo en interfaces, API, datos y PWA. La integración requiere acuerdos sobre requisitos, endpoints y criterios de aceptación; se revisan tareas según disponibilidad, dependencias y retroalimentación docente.</w:t>
            </w:r>
          </w:p>
          <w:p w14:paraId="21780D54" w14:textId="77777777" w:rsidR="00F63346" w:rsidRPr="007C1901" w:rsidRDefault="00000000">
            <w:pPr>
              <w:keepNext w:val="0"/>
              <w:keepLines/>
              <w:widowControl/>
              <w:spacing w:after="2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Justificación. </w:t>
            </w:r>
            <w:r>
              <w:rPr>
                <w:rFonts w:ascii="Cambria" w:hAnsi="Cambria"/>
                <w:color w:val="22395B"/>
                <w:sz w:val="19"/>
              </w:rPr>
              <w:t>Este método se ajusta al carácter iterativo del proyecto y a la necesidad de reorganizar trabajo y corregir bloqueos. Sustituye la descripción metodológica mixta de documentos preliminares por la práctica de seguimiento que utiliza el equipo.</w:t>
            </w:r>
          </w:p>
        </w:tc>
      </w:tr>
      <w:tr w:rsidR="001202BF" w14:paraId="02F3F34F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54BF6625" w14:textId="77777777" w:rsidR="001202BF" w:rsidRPr="007C1901" w:rsidRDefault="001202BF" w:rsidP="00585A13">
            <w:pPr>
              <w:widowControl/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7C1901">
              <w:rPr>
                <w:rFonts w:ascii="Calibri" w:hAnsi="Calibri"/>
                <w:color w:val="1F3864" w:themeColor="accent1" w:themeShade="80"/>
                <w:szCs w:val="2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4DBE7ED2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Trabajo y resultados documentados. </w:t>
            </w:r>
            <w:r>
              <w:rPr>
                <w:rFonts w:ascii="Cambria" w:hAnsi="Cambria"/>
                <w:color w:val="22395B"/>
                <w:sz w:val="19"/>
              </w:rPr>
              <w:t>Se elaboraron ficha y acta del proyecto, registro y matriz de stakeholders, Product Vision, Product Goal, Roadmap, requerimientos funcionales/no funcionales e historias de usuario. La arquitectura, los diagramas UML y el modelo relacional fueron documentados y revisados.</w:t>
            </w:r>
          </w:p>
          <w:p w14:paraId="20140EEA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Construcción técnica. </w:t>
            </w:r>
            <w:r>
              <w:rPr>
                <w:rFonts w:ascii="Cambria" w:hAnsi="Cambria"/>
                <w:i w:val="0"/>
                <w:color w:val="22395B"/>
                <w:sz w:val="19"/>
              </w:rPr>
              <w:t>Se trabajaron las vistas React/Tailwind del Panel Web y Portal Cliente, la App Técnica PWA y el backend FastAPI. La base PostgreSQL en Neon cuenta con una extracción documentada de 10 tablas, 114 columnas y 16 claves foráneas. El frontend dispone de una versión accesible mediante Vercel, que se muestra en las capturas incluidas.</w:t>
            </w:r>
          </w:p>
          <w:p w14:paraId="3C8CEB91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Responsabilidades. </w:t>
            </w:r>
            <w:r>
              <w:rPr>
                <w:rFonts w:ascii="Cambria" w:hAnsi="Cambria"/>
                <w:color w:val="22395B"/>
                <w:sz w:val="19"/>
              </w:rPr>
              <w:t>Diego Jiménez: frontend, experiencia de usuario y despliegue del frontend; Joaquín Mendoza: Product Owner y backend/API; Alexander Sáez: modelo de datos y Neon; Matías Abarca: App Técnica PWA y apoyo a pruebas. La validación del flujo integrado corresponde al equipo.</w:t>
            </w:r>
          </w:p>
          <w:p w14:paraId="0535FB3D" w14:textId="77777777" w:rsidR="00F63346" w:rsidRPr="007C1901" w:rsidRDefault="00000000">
            <w:pPr>
              <w:keepNext w:val="0"/>
              <w:keepLines/>
              <w:widowControl/>
              <w:spacing w:after="2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Dificultades y ajustes. </w:t>
            </w:r>
            <w:r>
              <w:rPr>
                <w:rFonts w:ascii="Cambria" w:hAnsi="Cambria"/>
                <w:color w:val="22395B"/>
                <w:sz w:val="19"/>
              </w:rPr>
              <w:t>El trabajo paralelo exigió coordinar contratos API, consistencia Router/SIM y evidencias. Se delimitó el MVP, dejando fuera GPS continuo, ruteo dinámico e integraciones empresariales avanzadas. La docente valoró la base del software y solicitó reforzar ortografía y redacción de pantallas y documentación. La secuencia de actividades se contrasta con la planificación inicial y el tablero Kanban.</w:t>
            </w:r>
          </w:p>
        </w:tc>
      </w:tr>
      <w:tr w:rsidR="001202BF" w14:paraId="7B515C7A" w14:textId="77777777" w:rsidTr="7EB51544">
        <w:trPr>
          <w:cantSplit/>
          <w:trHeight w:val="1112"/>
        </w:trPr>
        <w:tc>
          <w:tcPr>
            <w:tcW w:w="3001" w:type="dxa"/>
            <w:vAlign w:val="center"/>
          </w:tcPr>
          <w:p w14:paraId="63C9CE40" w14:textId="77777777" w:rsidR="001202BF" w:rsidRPr="007C1901" w:rsidRDefault="001202BF" w:rsidP="00585A13">
            <w:pPr>
              <w:widowControl/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7C1901">
              <w:rPr>
                <w:rFonts w:ascii="Calibri" w:hAnsi="Calibri"/>
                <w:color w:val="1F3864" w:themeColor="accent1" w:themeShade="80"/>
                <w:szCs w:val="2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4FFA6211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1F375A"/>
                <w:sz w:val="19"/>
              </w:rPr>
              <w:t xml:space="preserve">Evidencias documentales. </w:t>
            </w:r>
            <w:r>
              <w:rPr>
                <w:rFonts w:ascii="Cambria" w:hAnsi="Cambria"/>
                <w:i w:val="0"/>
                <w:color w:val="1F375A"/>
                <w:sz w:val="19"/>
              </w:rPr>
              <w:t>Se dispone de la ficha, acta, stakeholders, Product Vision, Goal y Roadmap, requisitos, historias de usuario, arquitectura, diagramas UML y modelo DER contrastado con la estructura de Neon.</w:t>
            </w:r>
          </w:p>
          <w:p w14:paraId="5390F779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1F375A"/>
                <w:sz w:val="19"/>
              </w:rPr>
              <w:t xml:space="preserve">Evidencias visuales incorporadas. </w:t>
            </w:r>
            <w:r>
              <w:rPr>
                <w:rFonts w:ascii="Cambria" w:hAnsi="Cambria"/>
                <w:i w:val="0"/>
                <w:color w:val="1F375A"/>
                <w:sz w:val="19"/>
              </w:rPr>
              <w:t>El anexo muestra el Dispatch Board, el tablero de órdenes, el inventario SIM/routers, la consola de Neon, el tablero Kanban del equipo en Notion y un correo de seguimiento enviado mediante SendGrid. Incluye fotogramas del video de demostración de la App Técnica PWA elaborado por Matías.</w:t>
            </w:r>
          </w:p>
          <w:p w14:paraId="7B72B9DD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1F375A"/>
                <w:sz w:val="19"/>
              </w:rPr>
              <w:t xml:space="preserve">Resumen del respaldo. </w:t>
            </w:r>
            <w:r>
              <w:rPr>
                <w:rFonts w:ascii="Cambria" w:hAnsi="Cambria"/>
                <w:i w:val="0"/>
                <w:color w:val="1F375A"/>
                <w:sz w:val="19"/>
              </w:rPr>
              <w:t>Las capturas incluidas y el video del equipo documentan el avance visible del Panel Web, la organización de órdenes, el inventario técnico, el esquema de PostgreSQL en Neon, la gestión Kanban y el proceso de comunicación de visitas mediante correo. Las figuras se presentan con descripción y fuente en los anexos.</w:t>
            </w:r>
          </w:p>
        </w:tc>
      </w:tr>
      <w:tr w:rsidR="001202BF" w14:paraId="4A9DFC48" w14:textId="77777777" w:rsidTr="7EB51544">
        <w:trPr>
          <w:cantSplit/>
          <w:trHeight w:val="2547"/>
        </w:trPr>
        <w:tc>
          <w:tcPr>
            <w:tcW w:w="3001" w:type="dxa"/>
            <w:vAlign w:val="center"/>
          </w:tcPr>
          <w:p w14:paraId="7B55A4A2" w14:textId="77777777" w:rsidR="001202BF" w:rsidRPr="007C1901" w:rsidRDefault="00B340E1" w:rsidP="7EB51544">
            <w:pPr>
              <w:widowControl/>
              <w:rPr>
                <w:rFonts w:ascii="Calibri" w:hAnsi="Calibri"/>
                <w:color w:val="1F3864" w:themeColor="accent1" w:themeShade="80"/>
                <w:szCs w:val="28"/>
              </w:rPr>
            </w:pPr>
            <w:r w:rsidRPr="007C1901">
              <w:rPr>
                <w:rFonts w:ascii="Calibri" w:hAnsi="Calibri"/>
                <w:color w:val="1F3864" w:themeColor="accent1" w:themeShade="80"/>
                <w:szCs w:val="28"/>
              </w:rPr>
              <w:lastRenderedPageBreak/>
              <w:t>6</w:t>
            </w:r>
            <w:r w:rsidR="001202BF" w:rsidRPr="007C1901">
              <w:rPr>
                <w:rFonts w:ascii="Calibri" w:hAnsi="Calibri"/>
                <w:color w:val="1F3864" w:themeColor="accent1" w:themeShade="80"/>
                <w:szCs w:val="28"/>
              </w:rPr>
              <w:t xml:space="preserve">. </w:t>
            </w:r>
            <w:r w:rsidR="00B4008E" w:rsidRPr="007C1901">
              <w:rPr>
                <w:rFonts w:ascii="Calibri" w:hAnsi="Calibri"/>
                <w:color w:val="1F3864" w:themeColor="accent1" w:themeShade="80"/>
                <w:szCs w:val="28"/>
              </w:rPr>
              <w:t xml:space="preserve">Intereses </w:t>
            </w:r>
            <w:r w:rsidR="001202BF" w:rsidRPr="007C1901">
              <w:rPr>
                <w:rFonts w:ascii="Calibri" w:hAnsi="Calibri"/>
                <w:color w:val="1F3864" w:themeColor="accent1" w:themeShade="80"/>
                <w:szCs w:val="28"/>
              </w:rPr>
              <w:t>y proyecciones</w:t>
            </w:r>
            <w:r w:rsidR="00B4008E" w:rsidRPr="007C1901">
              <w:rPr>
                <w:rFonts w:ascii="Calibri" w:hAnsi="Calibri"/>
                <w:color w:val="1F3864" w:themeColor="accent1" w:themeShade="80"/>
                <w:szCs w:val="2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F99E5D9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Reflexión del equipo. </w:t>
            </w:r>
            <w:r>
              <w:rPr>
                <w:rFonts w:ascii="Cambria" w:hAnsi="Cambria"/>
                <w:color w:val="22395B"/>
                <w:sz w:val="19"/>
              </w:rPr>
              <w:t>El desarrollo de ATLAS permitió aplicar en un problema concreto capacidades de análisis, diseño de interfaces, programación de servicios, modelado de datos, calidad y coordinación de tareas. La integración de componentes dejó en evidencia la importancia de acordar responsabilidades y mantener información técnica consistente.</w:t>
            </w:r>
          </w:p>
          <w:p w14:paraId="6E136735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Aprendizajes. </w:t>
            </w:r>
            <w:r>
              <w:rPr>
                <w:rFonts w:ascii="Cambria" w:hAnsi="Cambria"/>
                <w:color w:val="22395B"/>
                <w:sz w:val="19"/>
              </w:rPr>
              <w:t>Se fortaleció el uso de documentación, criterios de aceptación y un tablero Kanban para hacer visibles avances y bloqueos. También se identificó como mejora necesaria la revisión ortográfica y la ejecución sistemática de pruebas sobre el flujo completo.</w:t>
            </w:r>
          </w:p>
          <w:p w14:paraId="796B50FD" w14:textId="77777777" w:rsidR="00F63346" w:rsidRPr="007C1901" w:rsidRDefault="00000000">
            <w:pPr>
              <w:keepNext w:val="0"/>
              <w:keepLines/>
              <w:widowControl/>
              <w:spacing w:after="10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Proyección profesional. </w:t>
            </w:r>
            <w:r>
              <w:rPr>
                <w:rFonts w:ascii="Cambria" w:hAnsi="Cambria"/>
                <w:color w:val="22395B"/>
                <w:sz w:val="19"/>
              </w:rPr>
              <w:t>El proyecto ofrece experiencia aplicable a frontend y UX, backend y APIs, bases de datos en la nube, aplicaciones PWA y pruebas de software. Estas áreas reflejan los ámbitos técnicos trabajados por los integrantes, sin presumir que todos comparten las mismas metas laborales.</w:t>
            </w:r>
          </w:p>
          <w:p w14:paraId="250EFA1D" w14:textId="77777777" w:rsidR="00F63346" w:rsidRPr="007C1901" w:rsidRDefault="00000000">
            <w:pPr>
              <w:keepNext w:val="0"/>
              <w:keepLines/>
              <w:widowControl/>
              <w:spacing w:after="20" w:line="264" w:lineRule="auto" w:before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mbria" w:hAnsi="Cambria"/>
                <w:b/>
                <w:color w:val="22395B"/>
                <w:sz w:val="19"/>
              </w:rPr>
              <w:t xml:space="preserve">Mejora continua. </w:t>
            </w:r>
            <w:r>
              <w:rPr>
                <w:rFonts w:ascii="Cambria" w:hAnsi="Cambria"/>
                <w:i w:val="0"/>
                <w:color w:val="22395B"/>
                <w:sz w:val="19"/>
              </w:rPr>
              <w:t>La retroalimentación recibida orienta la revisión ortográfica de las pantallas y los documentos, la consistencia entre requisitos y funcionalidades y la claridad de la presentación de evidencias técnicas.</w:t>
            </w:r>
          </w:p>
        </w:tc>
      </w:tr>
    </w:tbl>
    <w:p w14:paraId="29E43684" w14:textId="77777777" w:rsidR="00B10421" w:rsidRDefault="00B10421"/>
    <w:p>
      <w:r>
        <w:br w:type="page"/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6"/>
        </w:rPr>
        <w:t>ANEXO 1. Evidencias visuales del desarrollo de ATLAS</w:t>
      </w:r>
    </w:p>
    <w:p>
      <w:pPr>
        <w:spacing w:after="180"/>
      </w:pPr>
      <w:r>
        <w:rPr>
          <w:rFonts w:ascii="Cambria" w:hAnsi="Cambria"/>
          <w:color w:val="1F375A"/>
          <w:sz w:val="19"/>
        </w:rPr>
        <w:t>Capturas y fotogramas proporcionados por el equipo como respaldo del avance de Fase 2. Las cifras que aparecen en las vistas corresponden al estado mostrado en la demostración y no acreditan métricas operacionales en producción.</w:t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0"/>
        </w:rPr>
        <w:t>Figura 1. Panel Web: Dispatch Board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59120" cy="266090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20" cy="266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</w:pPr>
      <w:r>
        <w:rPr>
          <w:rFonts w:ascii="Cambria" w:hAnsi="Cambria"/>
          <w:color w:val="4D688B"/>
          <w:sz w:val="17"/>
        </w:rPr>
        <w:t>La vista presenta el resumen de órdenes activas, técnicos, disponibilidad de SIM y próximas visitas. También se observan el componente geográfico y el panel de avisos de la interfaz de coordinación.</w:t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0"/>
        </w:rPr>
        <w:t>Figura 2. Panel Web: seguimiento de órdenes de trabajo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81034" cy="26517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1034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</w:pPr>
      <w:r>
        <w:rPr>
          <w:rFonts w:ascii="Cambria" w:hAnsi="Cambria"/>
          <w:color w:val="4D688B"/>
          <w:sz w:val="17"/>
        </w:rPr>
        <w:t>Tablero de órdenes con estados asignada, en tránsito y completada; permite visualizar prioridad, responsable y datos resumidos de cada servicio.</w:t>
      </w:r>
    </w:p>
    <w:p>
      <w:r>
        <w:br w:type="page"/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6"/>
        </w:rPr>
        <w:t>ANEXO 1. Evidencias de inventario y persistencia</w:t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0"/>
        </w:rPr>
        <w:t>Figura 3. Inventario técnico de SIM y routers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42855" cy="280720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2855" cy="280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</w:pPr>
      <w:r>
        <w:rPr>
          <w:rFonts w:ascii="Cambria" w:hAnsi="Cambria"/>
          <w:color w:val="4D688B"/>
          <w:sz w:val="17"/>
        </w:rPr>
        <w:t>La interfaz muestra dispositivos SIM y routers, sus estados de inventario y la vinculación visible con órdenes de trabajo y técnicos. Se documenta como evidencia del módulo de inventario.</w:t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0"/>
        </w:rPr>
        <w:t>Figura 4. Base PostgreSQL en Neon: estructura del esquema public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17041" cy="275234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n_tablas_datos_protegi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7041" cy="275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</w:pPr>
      <w:r>
        <w:rPr>
          <w:rFonts w:ascii="Cambria" w:hAnsi="Cambria"/>
          <w:color w:val="4D688B"/>
          <w:sz w:val="17"/>
        </w:rPr>
        <w:t>La consola presenta el esquema y el listado de diez tablas. Los valores de los registros fueron difuminados para proteger datos identificatorios; las exportaciones estructurales respaldan el diccionario y el DER.</w:t>
      </w:r>
    </w:p>
    <w:p>
      <w:r>
        <w:br w:type="page"/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6"/>
        </w:rPr>
        <w:t>ANEXO 1. Evidencias de seguimiento y comunicación</w:t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0"/>
        </w:rPr>
        <w:t>Figura 5. Organización del trabajo: tablero Kanban en Notion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48656" cy="260282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01856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656" cy="260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</w:pPr>
      <w:r>
        <w:rPr>
          <w:rFonts w:ascii="Cambria" w:hAnsi="Cambria"/>
          <w:color w:val="4D688B"/>
          <w:sz w:val="17"/>
        </w:rPr>
        <w:t>El tablero de Notion muestra el seguimiento del trabajo mediante estados Kanban, con tareas finalizadas, en curso, por revisar y bloqueadas. Respalda la organización y priorización del equipo.</w:t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0"/>
        </w:rPr>
        <w:t>Figura 6. Correo de seguimiento al cliente enviado mediante SendGrid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48656" cy="247766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02039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656" cy="247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</w:pPr>
      <w:r>
        <w:rPr>
          <w:rFonts w:ascii="Cambria" w:hAnsi="Cambria"/>
          <w:color w:val="4D688B"/>
          <w:sz w:val="17"/>
        </w:rPr>
        <w:t>El mensaje recibido identifica la orden de trabajo, la visita programada y el acceso al Portal de Seguimiento. La captura respalda el funcionamiento visible del envío de notificaciones por correo.</w:t>
      </w:r>
    </w:p>
    <w:p>
      <w:r>
        <w:br w:type="page"/>
      </w:r>
    </w:p>
    <w:p>
      <w:pPr>
        <w:keepNext/>
        <w:spacing w:before="120" w:after="80"/>
      </w:pPr>
      <w:r>
        <w:rPr>
          <w:rFonts w:ascii="Cambria" w:hAnsi="Cambria"/>
          <w:b/>
          <w:color w:val="1F375A"/>
          <w:sz w:val="26"/>
        </w:rPr>
        <w:t>ANEXO 2. Demostración de la App Técnica PWA</w:t>
      </w:r>
    </w:p>
    <w:p>
      <w:pPr>
        <w:spacing w:after="180"/>
      </w:pPr>
      <w:r>
        <w:rPr>
          <w:rFonts w:ascii="Cambria" w:hAnsi="Cambria"/>
          <w:color w:val="1F375A"/>
          <w:sz w:val="19"/>
        </w:rPr>
        <w:t>Fuente: video demostrativo de 23 segundos elaborado por Matías y facilitado por el equipo (17/10/2026). Las siguientes imágenes corresponden a fotogramas del video, no a capturas de pruebas automatizadas.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cantSplit/>
        </w:trPr>
        <w:tc>
          <w:tcPr>
            <w:tcW w:type="dxa" w:w="2808"/>
            <w:vAlign w:val="top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color w:val="1F375A"/>
                <w:sz w:val="18"/>
              </w:rPr>
              <w:t>Vista de la visita técnica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488" cy="285932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2859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vAlign w:val="top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color w:val="1F375A"/>
                <w:sz w:val="18"/>
              </w:rPr>
              <w:t>Captura de fotografía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488" cy="285932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2859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8"/>
            <w:vAlign w:val="top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color w:val="1F375A"/>
                <w:sz w:val="18"/>
              </w:rPr>
              <w:t>Fotografía incorporada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8488" cy="285932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1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2859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80" w:after="100"/>
      </w:pPr>
      <w:r>
        <w:rPr>
          <w:rFonts w:ascii="Cambria" w:hAnsi="Cambria"/>
          <w:b/>
          <w:color w:val="1F375A"/>
          <w:sz w:val="19"/>
        </w:rPr>
        <w:t>Interpretación de la evidencia. El video de Matías muestra la navegación hacia una visita técnica, el acceso a la cámara del dispositivo y la incorporación visual de una fotografía en la sección de evidencias. También aparecen las secciones de Checklist y Equipo.</w:t>
      </w:r>
      <w:r>
        <w:rPr>
          <w:rFonts w:ascii="Cambria" w:hAnsi="Cambria"/>
          <w:color w:val="1F375A"/>
          <w:sz w:val="18"/>
        </w:rPr>
      </w:r>
    </w:p>
    <w:p>
      <w:pPr>
        <w:spacing w:before="120"/>
      </w:pPr>
      <w:r>
        <w:rPr>
          <w:rFonts w:ascii="Cambria" w:hAnsi="Cambria"/>
          <w:b/>
          <w:color w:val="1F375A"/>
          <w:sz w:val="19"/>
        </w:rPr>
        <w:t xml:space="preserve">Material complementario. </w:t>
      </w:r>
      <w:r>
        <w:rPr>
          <w:rFonts w:ascii="Cambria" w:hAnsi="Cambria"/>
          <w:i w:val="0"/>
          <w:color w:val="1F375A"/>
          <w:sz w:val="18"/>
        </w:rPr>
        <w:t>El video original de demostración de la App Técnica PWA complementa los fotogramas presentados en este informe. Las capturas se identifican por módulo para facilitar la revisión del avance de ATLAS.</w:t>
      </w:r>
    </w:p>
    <w:sectPr w:rsidR="00B10421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0954F" w14:textId="77777777" w:rsidR="00B10421" w:rsidRDefault="00B10421" w:rsidP="00EE1135">
      <w:pPr>
        <w:spacing w:after="0" w:line="240" w:lineRule="auto"/>
      </w:pPr>
      <w:r>
        <w:separator/>
      </w:r>
    </w:p>
  </w:endnote>
  <w:endnote w:type="continuationSeparator" w:id="0">
    <w:p w14:paraId="30B7E53C" w14:textId="77777777" w:rsidR="00B10421" w:rsidRDefault="00B10421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40EA0" w14:textId="77777777" w:rsidR="00B10421" w:rsidRDefault="00B10421" w:rsidP="00EE1135">
      <w:pPr>
        <w:spacing w:after="0" w:line="240" w:lineRule="auto"/>
      </w:pPr>
      <w:r>
        <w:separator/>
      </w:r>
    </w:p>
  </w:footnote>
  <w:footnote w:type="continuationSeparator" w:id="0">
    <w:p w14:paraId="316318ED" w14:textId="77777777" w:rsidR="00B10421" w:rsidRDefault="00B10421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C8E7EFF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CC3FDBC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5E9DE59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04005C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E405ECE" wp14:editId="4681CF64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1AAD19B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700978">
    <w:abstractNumId w:val="0"/>
  </w:num>
  <w:num w:numId="2" w16cid:durableId="1992633023">
    <w:abstractNumId w:val="2"/>
  </w:num>
  <w:num w:numId="3" w16cid:durableId="2047488336">
    <w:abstractNumId w:val="5"/>
  </w:num>
  <w:num w:numId="4" w16cid:durableId="1513375115">
    <w:abstractNumId w:val="1"/>
  </w:num>
  <w:num w:numId="5" w16cid:durableId="373772135">
    <w:abstractNumId w:val="3"/>
  </w:num>
  <w:num w:numId="6" w16cid:durableId="82920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60690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C1901"/>
    <w:rsid w:val="008539F6"/>
    <w:rsid w:val="009378F7"/>
    <w:rsid w:val="00946E78"/>
    <w:rsid w:val="00960A7F"/>
    <w:rsid w:val="009A3C06"/>
    <w:rsid w:val="00A076F3"/>
    <w:rsid w:val="00B0399B"/>
    <w:rsid w:val="00B10421"/>
    <w:rsid w:val="00B340E1"/>
    <w:rsid w:val="00B4008E"/>
    <w:rsid w:val="00C12144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63346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1DFA6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846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Diego Jimenez</cp:lastModifiedBy>
  <cp:revision>10</cp:revision>
  <dcterms:created xsi:type="dcterms:W3CDTF">2022-08-24T18:22:00Z</dcterms:created>
  <dcterms:modified xsi:type="dcterms:W3CDTF">2026-10-16T14:24:00Z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