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2D0" w:rsidRPr="00975A05" w:rsidRDefault="007112D0" w:rsidP="007112D0">
      <w:pPr>
        <w:jc w:val="center"/>
        <w:rPr>
          <w:rFonts w:ascii="Bradley Hand ITC" w:hAnsi="Bradley Hand ITC"/>
          <w:b/>
          <w:sz w:val="36"/>
        </w:rPr>
      </w:pPr>
      <w:r w:rsidRPr="00975A05">
        <w:rPr>
          <w:rFonts w:ascii="Bradley Hand ITC" w:hAnsi="Bradley Hand ITC"/>
          <w:b/>
          <w:sz w:val="36"/>
        </w:rPr>
        <w:t xml:space="preserve">Frame of Reference </w:t>
      </w:r>
    </w:p>
    <w:p w:rsidR="007112D0" w:rsidRPr="00975A05" w:rsidRDefault="007112D0" w:rsidP="007112D0">
      <w:pPr>
        <w:rPr>
          <w:rFonts w:ascii="Bradley Hand ITC" w:hAnsi="Bradley Hand ITC"/>
          <w:b/>
          <w:sz w:val="28"/>
        </w:rPr>
      </w:pPr>
      <w:r w:rsidRPr="00975A05">
        <w:rPr>
          <w:rFonts w:ascii="Bradley Hand ITC" w:hAnsi="Bradley Hand ITC"/>
          <w:b/>
          <w:sz w:val="28"/>
        </w:rPr>
        <w:t>Today in Science class, Mr. Smith told us about Frame of Reference.</w:t>
      </w:r>
    </w:p>
    <w:p w:rsidR="007112D0" w:rsidRPr="00975A05" w:rsidRDefault="007112D0" w:rsidP="007112D0">
      <w:pPr>
        <w:rPr>
          <w:rFonts w:ascii="Bradley Hand ITC" w:hAnsi="Bradley Hand ITC"/>
          <w:b/>
          <w:sz w:val="32"/>
        </w:rPr>
      </w:pPr>
    </w:p>
    <w:p w:rsidR="007112D0" w:rsidRPr="002902FF" w:rsidRDefault="007112D0" w:rsidP="002902FF">
      <w:pPr>
        <w:rPr>
          <w:rFonts w:ascii="Bradley Hand ITC" w:hAnsi="Bradley Hand ITC"/>
          <w:b/>
          <w:sz w:val="32"/>
        </w:rPr>
      </w:pPr>
      <w:r w:rsidRPr="00975A05">
        <w:rPr>
          <w:rFonts w:ascii="Bradley Hand ITC" w:hAnsi="Bradley Hand ITC"/>
          <w:b/>
          <w:sz w:val="28"/>
        </w:rPr>
        <w:t>Things I learned</w:t>
      </w:r>
      <w:r w:rsidRPr="00975A05">
        <w:rPr>
          <w:rFonts w:ascii="Bradley Hand ITC" w:hAnsi="Bradley Hand ITC"/>
          <w:b/>
          <w:sz w:val="32"/>
        </w:rPr>
        <w:t>:</w:t>
      </w:r>
      <w:bookmarkStart w:id="0" w:name="_GoBack"/>
      <w:bookmarkEnd w:id="0"/>
    </w:p>
    <w:p w:rsidR="007112D0" w:rsidRPr="00975A05" w:rsidRDefault="007112D0" w:rsidP="007112D0">
      <w:pPr>
        <w:pStyle w:val="ListParagraph"/>
        <w:numPr>
          <w:ilvl w:val="0"/>
          <w:numId w:val="1"/>
        </w:numPr>
        <w:rPr>
          <w:rFonts w:ascii="Bradley Hand ITC" w:hAnsi="Bradley Hand ITC"/>
          <w:b/>
          <w:sz w:val="32"/>
        </w:rPr>
      </w:pPr>
      <w:r w:rsidRPr="00975A05">
        <w:rPr>
          <w:rFonts w:ascii="Bradley Hand ITC" w:hAnsi="Bradley Hand ITC"/>
          <w:b/>
          <w:sz w:val="28"/>
        </w:rPr>
        <w:t>Bicycles utilize the gyroscope principle to maintain stability as the wheel rotates.</w:t>
      </w:r>
    </w:p>
    <w:p w:rsidR="007112D0" w:rsidRPr="00975A05" w:rsidRDefault="007112D0" w:rsidP="007112D0">
      <w:pPr>
        <w:pStyle w:val="ListParagraph"/>
        <w:numPr>
          <w:ilvl w:val="0"/>
          <w:numId w:val="1"/>
        </w:numPr>
        <w:rPr>
          <w:rFonts w:ascii="Bradley Hand ITC" w:hAnsi="Bradley Hand ITC"/>
          <w:b/>
          <w:sz w:val="32"/>
        </w:rPr>
      </w:pPr>
      <w:r w:rsidRPr="00975A05">
        <w:rPr>
          <w:rFonts w:ascii="Bradley Hand ITC" w:hAnsi="Bradley Hand ITC"/>
          <w:b/>
          <w:sz w:val="28"/>
        </w:rPr>
        <w:t>Bicycle wheels use the same principal as the “Bicycle Wheel Gyroscope” demonstration (see last page – Motion).</w:t>
      </w:r>
    </w:p>
    <w:p w:rsidR="007112D0" w:rsidRPr="00975A05" w:rsidRDefault="007112D0" w:rsidP="007112D0">
      <w:pPr>
        <w:pStyle w:val="ListParagraph"/>
        <w:numPr>
          <w:ilvl w:val="0"/>
          <w:numId w:val="1"/>
        </w:numPr>
        <w:rPr>
          <w:rFonts w:ascii="Bradley Hand ITC TT-Bold" w:hAnsi="Bradley Hand ITC TT-Bold"/>
          <w:b/>
          <w:sz w:val="32"/>
        </w:rPr>
      </w:pPr>
      <w:r w:rsidRPr="00975A05">
        <w:rPr>
          <w:rFonts w:ascii="Bradley Hand ITC" w:hAnsi="Bradley Hand ITC"/>
          <w:b/>
          <w:sz w:val="28"/>
        </w:rPr>
        <w:t>A motion will appear different depending on where you are and what you are doing</w:t>
      </w:r>
      <w:r>
        <w:rPr>
          <w:rFonts w:ascii="Bradley Hand ITC TT-Bold" w:hAnsi="Bradley Hand ITC TT-Bold"/>
          <w:b/>
          <w:sz w:val="28"/>
        </w:rPr>
        <w:t>.</w:t>
      </w:r>
    </w:p>
    <w:p w:rsidR="00975A05" w:rsidRPr="00975A05" w:rsidRDefault="00975A05" w:rsidP="007112D0">
      <w:pPr>
        <w:pStyle w:val="ListParagraph"/>
        <w:numPr>
          <w:ilvl w:val="0"/>
          <w:numId w:val="1"/>
        </w:numPr>
        <w:rPr>
          <w:rFonts w:ascii="Bradley Hand ITC TT-Bold" w:hAnsi="Bradley Hand ITC TT-Bold"/>
          <w:b/>
          <w:sz w:val="32"/>
        </w:rPr>
      </w:pPr>
      <w:r>
        <w:rPr>
          <w:rFonts w:ascii="Bradley Hand ITC" w:hAnsi="Bradley Hand ITC"/>
          <w:b/>
          <w:sz w:val="28"/>
        </w:rPr>
        <w:t>If you were in a train that was going 60 miles an hour, and there was another train coming toward you on the track next to you at 60 miles an hour, it would look like you were standing still and the other train was going 120 miles an hour</w:t>
      </w:r>
      <w:r w:rsidRPr="00975A05">
        <w:rPr>
          <w:rFonts w:ascii="Bradley Hand ITC" w:hAnsi="Bradley Hand ITC"/>
          <w:sz w:val="28"/>
        </w:rPr>
        <w:t>.</w:t>
      </w:r>
    </w:p>
    <w:p w:rsidR="00975A05" w:rsidRPr="00975A05" w:rsidRDefault="00975A05" w:rsidP="00975A05">
      <w:pPr>
        <w:rPr>
          <w:rFonts w:ascii="Bradley Hand ITC TT-Bold" w:hAnsi="Bradley Hand ITC TT-Bold"/>
          <w:b/>
          <w:sz w:val="32"/>
        </w:rPr>
      </w:pPr>
    </w:p>
    <w:sectPr w:rsidR="00975A05" w:rsidRPr="00975A05" w:rsidSect="007112D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Bradley Hand ITC TT-Bold">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5B33B8"/>
    <w:multiLevelType w:val="hybridMultilevel"/>
    <w:tmpl w:val="AE50D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7112D0"/>
    <w:rsid w:val="002902FF"/>
    <w:rsid w:val="007112D0"/>
    <w:rsid w:val="00975A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7D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Hamshire Regional School District</Company>
  <LinksUpToDate>false</LinksUpToDate>
  <CharactersWithSpaces>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Eliot Levine</cp:lastModifiedBy>
  <cp:revision>2</cp:revision>
  <dcterms:created xsi:type="dcterms:W3CDTF">2012-03-08T14:42:00Z</dcterms:created>
  <dcterms:modified xsi:type="dcterms:W3CDTF">2012-03-08T21:16:00Z</dcterms:modified>
</cp:coreProperties>
</file>