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rFonts w:ascii="Roboto" w:cs="Roboto" w:eastAsia="Roboto" w:hAnsi="Roboto"/>
          <w:sz w:val="24"/>
          <w:szCs w:val="24"/>
          <w:shd w:fill="f4fbff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4fbff" w:val="clear"/>
          <w:rtl w:val="0"/>
        </w:rPr>
        <w:t xml:space="preserve">Beet Sprout</w:t>
      </w:r>
    </w:p>
    <w:p w:rsidR="00000000" w:rsidDel="00000000" w:rsidP="00000000" w:rsidRDefault="00000000" w:rsidRPr="00000000" w14:paraId="00000003">
      <w:pPr>
        <w:ind w:left="0" w:firstLine="0"/>
        <w:rPr>
          <w:rFonts w:ascii="Roboto" w:cs="Roboto" w:eastAsia="Roboto" w:hAnsi="Roboto"/>
          <w:sz w:val="24"/>
          <w:szCs w:val="24"/>
          <w:shd w:fill="f4fb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1. Beetroot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UTF-8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2. Microseniors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90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Content-Type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3. Tennis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macintosh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4. Fidelity</w:t>
      </w: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Content-Type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