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Hedgerow Width and Ground Beetle Diversity on Arable Farms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tested whether wider hedgerows hold more ground beetle species on arable farms. Across 24 plots on 12 farms, species richness rose by 3.1 species per additional metre of hedgerow width. A second survey found peak beetle activity in June.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Keywords: ground beetles, hedgerows, species richness, agroecology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Introduction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Hedgerows shelter ground beetles that eat crop pests and weed seeds (Lang, 2016). Farms in eastern England removed 22 percent of their hedgerows between 1990 and 2010 (Weber, 2015).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present survey related ground beetle richness to hedgerow width.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Species richness, the number of species in a plot, was expected to rise with hedgerow width.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Richness Method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total of 24 plots were sampled on 12 farms in an agricultural landscape of 40 square kilometres. Plots lay along hedgerows 1 to 7 m wide.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Pitfall traps were placed 1 m apart along a 20 m transect.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Soil moisture was sampled 6 inches below the surface.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researchers identified each beetle to species.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kept the plots at least 100 m apart so that the samples stayed independent.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traps were emptied every 7 days from April to September.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limitation of the richness survey was that all plots lay in one region.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Each trap held propylene glycol. The glycol killed the beetles within 1 hour. It also preserved them for counting.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Hedgerow width was measured at 5 points per plot. The mean of the 5 values was used.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Beetles were counted in the laboratory under a microscope.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Two observers counted each sample independently. Their counts agreed for 97 percent of samples, and the counts were used without correction.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Richness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Species richness rose by 3.1 species per additional metre of hedgerow width (95% CI [2.2, 4.0]). Mean richness was 12.3 species per plot (SD = 2.1). Because the interval excluded zero, width and richness were positively associated.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Plots wider than 5 m held 16 species on average. Richness therefore kept rising at the wide end of the width range.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Three species occurred only in the widest hedgerows. None occurred in hedgerows narrower than 3 m. Width may have decided which species could persist.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Richness did not depend on farm size (r = 0.12, p = .58). Farm size was an unlikely source of the width effect.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Wide hedgerows held 9 forest specialists and narrow hedgerows held 2. The difference may reflect the shade that wide hedgerows offered these species.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Activity Method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second survey recorded when ground beetles were most active.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Beetles were sampled along hedgerows.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Species were identified from published keys.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Only one season was sampled, and the pattern may differ in other years.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Activity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Beetle activity peaked in June, with 41 percent of all captures. Activity fell below 5 percent per month after August. Beetles were therefore most active in early summer.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were delighted to find Carabus auratus in the third hedgerow.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timing of activity showed no link to hedgerow width (F = 0.8, p = .45). Width thus appeared to shape how many species a plot held and to leave their season of activity unchanged.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Discussion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Wider hedgerows hold more species, which suggests that width adds habitat. The result extends earlier work on hedgerows as shelter for beetles (Lang, 2016) to the width of the hedgerow.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pattern matches earlier surveys in Denmark (Holm, 2012).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Older hedgerows are wider in this sample, so age may explain part of the gain. A survey of hedgerow age on the same plots would separate the two effects.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5 m strip removes land from the crop; the same strip holds 16 species on average. Farmers therefore weigh a loss of cropland against a gain in species.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gain relates to width, not to hedgerow length, since every transect was 20 m long.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suggest that agri-environment schemes consider payments for hedgerows wider than 5 m.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Conclusion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Hedgerows wider than 5 m may hold more ground beetle species on arable farms. Future work should follow the same plots across at least three seasons.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