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F9D6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Retail Sales &amp; Business Intelligence</w:t>
      </w:r>
    </w:p>
    <w:p w14:paraId="0B28018E" w14:textId="0F199579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Business Report | 2023–2026</w:t>
      </w:r>
    </w:p>
    <w:p w14:paraId="18D04961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099BC8D6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This analysis evaluates retail sales performance, profitability, product performance, discounting and returns from 2023 to 2026.</w:t>
      </w:r>
    </w:p>
    <w:p w14:paraId="38746EDE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business generated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$2.33 million in sales and $292,274 in profit across 5,111 orders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, resulting in an overall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12.56% profit margin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. Sales increased by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51%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between 2023 and 2026, while profit increased by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86%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, indicating stronger overall profitability over the period.</w:t>
      </w:r>
    </w:p>
    <w:p w14:paraId="65CE0C2B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Performance varied considerably across regions and product categories. The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West region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generated the highest profit and a 14.98% margin, while the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Central region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generated $503,171 in sales but only a 7.92% margin. Technology produced the highest category profit, whereas Furniture generated substantial sales but comparatively low profit.</w:t>
      </w:r>
    </w:p>
    <w:p w14:paraId="2CB5BF70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analysis also identified a strong association between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higher discount levels and negative profitability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 Transactions with discounts above 20% generated losses overall, particularly within several Furniture, Office Supplies and Technology products.</w:t>
      </w:r>
    </w:p>
    <w:p w14:paraId="5D295CDB" w14:textId="16DC17A0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Returns represented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5.8% of orders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and did not appear to be a major driver of overall profitability based on the available profit data.</w:t>
      </w:r>
    </w:p>
    <w:p w14:paraId="4E33F1CA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Sales &amp; Profit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155"/>
      </w:tblGrid>
      <w:tr w:rsidR="0075582E" w:rsidRPr="0075582E" w14:paraId="03DE7433" w14:textId="77777777" w:rsidTr="00755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FB61D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8A474E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5582E" w:rsidRPr="0075582E" w14:paraId="2FD72B51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7B8F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47BCC4D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$2,326,154</w:t>
            </w:r>
          </w:p>
        </w:tc>
      </w:tr>
      <w:tr w:rsidR="0075582E" w:rsidRPr="0075582E" w14:paraId="2213EC92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8E67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654E64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$292,274</w:t>
            </w:r>
          </w:p>
        </w:tc>
      </w:tr>
      <w:tr w:rsidR="0075582E" w:rsidRPr="0075582E" w14:paraId="3D0D868B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534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23F304D8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12.56%</w:t>
            </w:r>
          </w:p>
        </w:tc>
      </w:tr>
      <w:tr w:rsidR="0075582E" w:rsidRPr="0075582E" w14:paraId="70EE6AF2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658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D17B101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5,111</w:t>
            </w:r>
          </w:p>
        </w:tc>
      </w:tr>
      <w:tr w:rsidR="0075582E" w:rsidRPr="0075582E" w14:paraId="665C9DFC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C23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10ECC56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804</w:t>
            </w:r>
          </w:p>
        </w:tc>
      </w:tr>
      <w:tr w:rsidR="0075582E" w:rsidRPr="0075582E" w14:paraId="43A5A703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A98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61E5B034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38,644</w:t>
            </w:r>
          </w:p>
        </w:tc>
      </w:tr>
      <w:tr w:rsidR="0075582E" w:rsidRPr="0075582E" w14:paraId="0378ACBB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C0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14:paraId="6B465004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~5.8%</w:t>
            </w:r>
          </w:p>
        </w:tc>
      </w:tr>
    </w:tbl>
    <w:p w14:paraId="47873E67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Performance strengthened over the four-year period.</w:t>
      </w:r>
    </w:p>
    <w:p w14:paraId="2A71BF4D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Sales increased from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$493,660 in 2023 to $745,567 in 2026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, while profit increased from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$51,661 to $95,927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4A43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Profit margin also improved from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10.46% in 2023 to 12.87% in 2026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, although it peaked at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13.46% in 2025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91CB3" w14:textId="03D677A3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The business experienced both sales growth and improved profitability, although margin performance should continue to be monitored as sales scale.</w:t>
      </w:r>
    </w:p>
    <w:p w14:paraId="470EDFFC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3. Regional Performance</w:t>
      </w:r>
    </w:p>
    <w:p w14:paraId="20B3A209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Regional performance differed significantly.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60"/>
        <w:gridCol w:w="960"/>
        <w:gridCol w:w="849"/>
      </w:tblGrid>
      <w:tr w:rsidR="0075582E" w:rsidRPr="0075582E" w14:paraId="6C83E4AC" w14:textId="77777777" w:rsidTr="00755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C04CB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330AB33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D2499FE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303496A4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Margin</w:t>
            </w:r>
          </w:p>
        </w:tc>
      </w:tr>
      <w:tr w:rsidR="0075582E" w:rsidRPr="0075582E" w14:paraId="6E25F57B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852F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54A28B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$739,814</w:t>
            </w:r>
          </w:p>
        </w:tc>
        <w:tc>
          <w:tcPr>
            <w:tcW w:w="0" w:type="auto"/>
            <w:vAlign w:val="center"/>
            <w:hideMark/>
          </w:tcPr>
          <w:p w14:paraId="69093A7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$110,799</w:t>
            </w:r>
          </w:p>
        </w:tc>
        <w:tc>
          <w:tcPr>
            <w:tcW w:w="0" w:type="auto"/>
            <w:vAlign w:val="center"/>
            <w:hideMark/>
          </w:tcPr>
          <w:p w14:paraId="2213D6D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14.98%</w:t>
            </w:r>
          </w:p>
        </w:tc>
      </w:tr>
      <w:tr w:rsidR="0075582E" w:rsidRPr="0075582E" w14:paraId="1702301E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67CB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B65B72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$691,448</w:t>
            </w:r>
          </w:p>
        </w:tc>
        <w:tc>
          <w:tcPr>
            <w:tcW w:w="0" w:type="auto"/>
            <w:vAlign w:val="center"/>
            <w:hideMark/>
          </w:tcPr>
          <w:p w14:paraId="383130C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$94,860</w:t>
            </w:r>
          </w:p>
        </w:tc>
        <w:tc>
          <w:tcPr>
            <w:tcW w:w="0" w:type="auto"/>
            <w:vAlign w:val="center"/>
            <w:hideMark/>
          </w:tcPr>
          <w:p w14:paraId="5229572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13.72%</w:t>
            </w:r>
          </w:p>
        </w:tc>
      </w:tr>
      <w:tr w:rsidR="0075582E" w:rsidRPr="0075582E" w14:paraId="2A3EC127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AF6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7DE2380A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$391,722</w:t>
            </w:r>
          </w:p>
        </w:tc>
        <w:tc>
          <w:tcPr>
            <w:tcW w:w="0" w:type="auto"/>
            <w:vAlign w:val="center"/>
            <w:hideMark/>
          </w:tcPr>
          <w:p w14:paraId="6A8CE339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$46,750</w:t>
            </w:r>
          </w:p>
        </w:tc>
        <w:tc>
          <w:tcPr>
            <w:tcW w:w="0" w:type="auto"/>
            <w:vAlign w:val="center"/>
            <w:hideMark/>
          </w:tcPr>
          <w:p w14:paraId="39F5EAD5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11.93%</w:t>
            </w:r>
          </w:p>
        </w:tc>
      </w:tr>
      <w:tr w:rsidR="0075582E" w:rsidRPr="0075582E" w14:paraId="4B7C5893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AB7E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0B3CEB3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$503,171</w:t>
            </w:r>
          </w:p>
        </w:tc>
        <w:tc>
          <w:tcPr>
            <w:tcW w:w="0" w:type="auto"/>
            <w:vAlign w:val="center"/>
            <w:hideMark/>
          </w:tcPr>
          <w:p w14:paraId="7D0D7F44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$39,865</w:t>
            </w:r>
          </w:p>
        </w:tc>
        <w:tc>
          <w:tcPr>
            <w:tcW w:w="0" w:type="auto"/>
            <w:vAlign w:val="center"/>
            <w:hideMark/>
          </w:tcPr>
          <w:p w14:paraId="09D85688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7.92%</w:t>
            </w:r>
          </w:p>
        </w:tc>
      </w:tr>
    </w:tbl>
    <w:p w14:paraId="7C5EEFF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West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generated the highest profit and strongest margin.</w:t>
      </w:r>
    </w:p>
    <w:p w14:paraId="6127EA02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Central region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requires closer investigation because its $503K in sales generated substantially less profit than the West and East.</w:t>
      </w:r>
    </w:p>
    <w:p w14:paraId="3B2FB71F" w14:textId="1B0FF915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Regional sales volume alone does not explain financial performance; profitability should be monitored alongside revenue.</w:t>
      </w:r>
    </w:p>
    <w:p w14:paraId="3090EF03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4. Category &amp; Sub-Category Profitability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60"/>
        <w:gridCol w:w="960"/>
        <w:gridCol w:w="849"/>
      </w:tblGrid>
      <w:tr w:rsidR="0075582E" w:rsidRPr="0075582E" w14:paraId="07CBE900" w14:textId="77777777" w:rsidTr="00755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E1C42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FEE578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FB61018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6947151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Margin</w:t>
            </w:r>
          </w:p>
        </w:tc>
      </w:tr>
      <w:tr w:rsidR="0075582E" w:rsidRPr="0075582E" w14:paraId="19A75B80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5DCC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33928CF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$839,893</w:t>
            </w:r>
          </w:p>
        </w:tc>
        <w:tc>
          <w:tcPr>
            <w:tcW w:w="0" w:type="auto"/>
            <w:vAlign w:val="center"/>
            <w:hideMark/>
          </w:tcPr>
          <w:p w14:paraId="52DF74E6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$146,544</w:t>
            </w:r>
          </w:p>
        </w:tc>
        <w:tc>
          <w:tcPr>
            <w:tcW w:w="0" w:type="auto"/>
            <w:vAlign w:val="center"/>
            <w:hideMark/>
          </w:tcPr>
          <w:p w14:paraId="61948461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17.45%</w:t>
            </w:r>
          </w:p>
        </w:tc>
      </w:tr>
      <w:tr w:rsidR="0075582E" w:rsidRPr="0075582E" w14:paraId="7463ADFF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044F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4BA8172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$731,893</w:t>
            </w:r>
          </w:p>
        </w:tc>
        <w:tc>
          <w:tcPr>
            <w:tcW w:w="0" w:type="auto"/>
            <w:vAlign w:val="center"/>
            <w:hideMark/>
          </w:tcPr>
          <w:p w14:paraId="0A8C0AF5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$126,024</w:t>
            </w:r>
          </w:p>
        </w:tc>
        <w:tc>
          <w:tcPr>
            <w:tcW w:w="0" w:type="auto"/>
            <w:vAlign w:val="center"/>
            <w:hideMark/>
          </w:tcPr>
          <w:p w14:paraId="398D14CC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17.22%</w:t>
            </w:r>
          </w:p>
        </w:tc>
      </w:tr>
      <w:tr w:rsidR="0075582E" w:rsidRPr="0075582E" w14:paraId="42A38167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125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3265883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$754,367</w:t>
            </w:r>
          </w:p>
        </w:tc>
        <w:tc>
          <w:tcPr>
            <w:tcW w:w="0" w:type="auto"/>
            <w:vAlign w:val="center"/>
            <w:hideMark/>
          </w:tcPr>
          <w:p w14:paraId="111E5E14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$19,707</w:t>
            </w:r>
          </w:p>
        </w:tc>
        <w:tc>
          <w:tcPr>
            <w:tcW w:w="0" w:type="auto"/>
            <w:vAlign w:val="center"/>
            <w:hideMark/>
          </w:tcPr>
          <w:p w14:paraId="550BD97D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2.61%</w:t>
            </w:r>
          </w:p>
        </w:tc>
      </w:tr>
    </w:tbl>
    <w:p w14:paraId="15A822F7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Technology generated the highest profit and a strong 17.45% margin.</w:t>
      </w:r>
    </w:p>
    <w:p w14:paraId="6E520956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Furniture generated more than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$750K in sales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but only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$19.7K in profit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, making its profitability considerably lower than the other categories.</w:t>
      </w:r>
    </w:p>
    <w:p w14:paraId="5C3D1D8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At sub-category level,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Tables and Bookcases were loss-making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, while several Technology and Office Supplies sub-categories generated considerably stronger margins.</w:t>
      </w:r>
    </w:p>
    <w:p w14:paraId="6B9DF437" w14:textId="1B9071AC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Furniture represents an important area for profitability review, particularly its loss-making sub-categories.</w:t>
      </w:r>
    </w:p>
    <w:p w14:paraId="25AEC21E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Discount &amp; Profitability Analysis</w:t>
      </w:r>
    </w:p>
    <w:p w14:paraId="3C59AE2C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Discounting showed a clear relationship with profitability.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08"/>
      </w:tblGrid>
      <w:tr w:rsidR="0075582E" w:rsidRPr="0075582E" w14:paraId="74E01E57" w14:textId="77777777" w:rsidTr="00755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BAD71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3EB9B1A0" w14:textId="77777777" w:rsidR="0075582E" w:rsidRPr="0075582E" w:rsidRDefault="0075582E" w:rsidP="00755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 Margin</w:t>
            </w:r>
          </w:p>
        </w:tc>
      </w:tr>
      <w:tr w:rsidR="0075582E" w:rsidRPr="0075582E" w14:paraId="0477C134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D9EE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9CD4FB5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29.56%</w:t>
            </w:r>
          </w:p>
        </w:tc>
      </w:tr>
      <w:tr w:rsidR="0075582E" w:rsidRPr="0075582E" w14:paraId="579C8254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9155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1–10%</w:t>
            </w:r>
          </w:p>
        </w:tc>
        <w:tc>
          <w:tcPr>
            <w:tcW w:w="0" w:type="auto"/>
            <w:vAlign w:val="center"/>
            <w:hideMark/>
          </w:tcPr>
          <w:p w14:paraId="65430826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16.56%</w:t>
            </w:r>
          </w:p>
        </w:tc>
      </w:tr>
      <w:tr w:rsidR="0075582E" w:rsidRPr="0075582E" w14:paraId="421616D6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C4BB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11–20%</w:t>
            </w:r>
          </w:p>
        </w:tc>
        <w:tc>
          <w:tcPr>
            <w:tcW w:w="0" w:type="auto"/>
            <w:vAlign w:val="center"/>
            <w:hideMark/>
          </w:tcPr>
          <w:p w14:paraId="11C80936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11.54%</w:t>
            </w:r>
          </w:p>
        </w:tc>
      </w:tr>
      <w:tr w:rsidR="0075582E" w:rsidRPr="0075582E" w14:paraId="69CA7E51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EEC0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21–30%</w:t>
            </w:r>
          </w:p>
        </w:tc>
        <w:tc>
          <w:tcPr>
            <w:tcW w:w="0" w:type="auto"/>
            <w:vAlign w:val="center"/>
            <w:hideMark/>
          </w:tcPr>
          <w:p w14:paraId="41B221E1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-10.08%</w:t>
            </w:r>
          </w:p>
        </w:tc>
      </w:tr>
      <w:tr w:rsidR="0075582E" w:rsidRPr="0075582E" w14:paraId="4ED1A87D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D181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31–40%</w:t>
            </w:r>
          </w:p>
        </w:tc>
        <w:tc>
          <w:tcPr>
            <w:tcW w:w="0" w:type="auto"/>
            <w:vAlign w:val="center"/>
            <w:hideMark/>
          </w:tcPr>
          <w:p w14:paraId="3BDE00CE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-19.45%</w:t>
            </w:r>
          </w:p>
        </w:tc>
      </w:tr>
      <w:tr w:rsidR="0075582E" w:rsidRPr="0075582E" w14:paraId="42C0532F" w14:textId="77777777" w:rsidTr="00755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B274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&gt;40%</w:t>
            </w:r>
          </w:p>
        </w:tc>
        <w:tc>
          <w:tcPr>
            <w:tcW w:w="0" w:type="auto"/>
            <w:vAlign w:val="center"/>
            <w:hideMark/>
          </w:tcPr>
          <w:p w14:paraId="2C7FED53" w14:textId="77777777" w:rsidR="0075582E" w:rsidRPr="0075582E" w:rsidRDefault="0075582E" w:rsidP="00755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2E">
              <w:rPr>
                <w:rFonts w:ascii="Times New Roman" w:eastAsia="Times New Roman" w:hAnsi="Times New Roman" w:cs="Times New Roman"/>
                <w:sz w:val="24"/>
                <w:szCs w:val="24"/>
              </w:rPr>
              <w:t>-77.37%</w:t>
            </w:r>
          </w:p>
        </w:tc>
      </w:tr>
    </w:tbl>
    <w:p w14:paraId="6743F73B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Transactions with discounts above 20% were loss-making overall.</w:t>
      </w:r>
    </w:p>
    <w:p w14:paraId="35708560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Discounts above 40% generated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$129K in sales but a $100K loss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97FC7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However, this should be interpreted as an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 rather than proof that discounts directly caused the losses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 Product mix, costs and individual transaction characteristics may also contribute.</w:t>
      </w:r>
    </w:p>
    <w:p w14:paraId="0C84FCE6" w14:textId="47C03CF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Discounting should be monitored at product and transaction </w:t>
      </w:r>
      <w:proofErr w:type="gramStart"/>
      <w:r w:rsidRPr="0075582E">
        <w:rPr>
          <w:rFonts w:ascii="Times New Roman" w:eastAsia="Times New Roman" w:hAnsi="Times New Roman" w:cs="Times New Roman"/>
          <w:sz w:val="24"/>
          <w:szCs w:val="24"/>
        </w:rPr>
        <w:t>level,</w:t>
      </w:r>
      <w:proofErr w:type="gramEnd"/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particularly where high discounts coincide with negative margins.</w:t>
      </w:r>
    </w:p>
    <w:p w14:paraId="64E6B275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6. Returns Analysis</w:t>
      </w:r>
    </w:p>
    <w:p w14:paraId="01592779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There were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296 returned orders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, representing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5.8% of all orders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BEED3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The analysis examined returns by sub-category and their associated profit.</w:t>
      </w:r>
    </w:p>
    <w:p w14:paraId="0015F265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Returned orders were concentrated in areas such as:</w:t>
      </w:r>
    </w:p>
    <w:p w14:paraId="6500AE2F" w14:textId="77777777" w:rsidR="0075582E" w:rsidRPr="0075582E" w:rsidRDefault="0075582E" w:rsidP="0075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Binders </w:t>
      </w:r>
    </w:p>
    <w:p w14:paraId="66272255" w14:textId="77777777" w:rsidR="0075582E" w:rsidRPr="0075582E" w:rsidRDefault="0075582E" w:rsidP="0075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Paper </w:t>
      </w:r>
    </w:p>
    <w:p w14:paraId="065CF584" w14:textId="77777777" w:rsidR="0075582E" w:rsidRPr="0075582E" w:rsidRDefault="0075582E" w:rsidP="0075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Phones </w:t>
      </w:r>
    </w:p>
    <w:p w14:paraId="37438C3D" w14:textId="77777777" w:rsidR="0075582E" w:rsidRPr="0075582E" w:rsidRDefault="0075582E" w:rsidP="0075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Furnishings </w:t>
      </w:r>
    </w:p>
    <w:p w14:paraId="3567DE59" w14:textId="77777777" w:rsidR="0075582E" w:rsidRPr="0075582E" w:rsidRDefault="0075582E" w:rsidP="0075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14:paraId="6CC9BC2B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overall profit margin of returned orders was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12.87%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, compared with approximately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12.54% for non-returned orders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EA96F" w14:textId="6B48C0B0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Returns are present but do not appear to be the main profitability concern in this dataset. Greater attention should therefore be directed towards pricing, discounting and low-margin products.</w:t>
      </w:r>
    </w:p>
    <w:p w14:paraId="4346F3F8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Key Business Findings</w:t>
      </w:r>
    </w:p>
    <w:p w14:paraId="140A599F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The analysis identified five key findings:</w:t>
      </w:r>
    </w:p>
    <w:p w14:paraId="6C1CEB25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1. Strong overall growth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br/>
        <w:t>Sales and profit both increased substantially between 2023 and 2026.</w:t>
      </w:r>
    </w:p>
    <w:p w14:paraId="2C75E819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2. Regional profitability varies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br/>
        <w:t>The Central region generates significant sales but a comparatively low profit margin.</w:t>
      </w:r>
    </w:p>
    <w:p w14:paraId="4255D216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3. Furniture requires profitability review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br/>
        <w:t>Furniture contributes substantial revenue but produces only a 2.61% margin.</w:t>
      </w:r>
    </w:p>
    <w:p w14:paraId="71696903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4. High discounts are associated with losses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br/>
        <w:t>Discounts above 20% were associated with negative profitability, particularly for several individual products.</w:t>
      </w:r>
    </w:p>
    <w:p w14:paraId="1F10F824" w14:textId="01BB5FA0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5. Returns are not the main profitability issue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br/>
        <w:t>The return rate is approximately 5.8%, but returned orders do not show substantially weaker overall margins.</w:t>
      </w:r>
    </w:p>
    <w:p w14:paraId="690C3041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8. Recommendations</w:t>
      </w:r>
    </w:p>
    <w:p w14:paraId="13A409C7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Based on the analysis, the following actions could support improved business performance:</w:t>
      </w:r>
    </w:p>
    <w:p w14:paraId="1717DACE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t>1. Review high-discount products</w:t>
      </w:r>
    </w:p>
    <w:p w14:paraId="0931DD9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Introduce closer monitoring of products receiving discounts above 20%, with particular attention to products generating negative margins.</w:t>
      </w:r>
    </w:p>
    <w:p w14:paraId="590DB726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t>2. Investigate Furniture profitability</w:t>
      </w:r>
    </w:p>
    <w:p w14:paraId="7E3824D6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Review pricing, supplier costs, discounts and product-level margins for Tables, Bookcases and other low-performing Furniture products.</w:t>
      </w:r>
    </w:p>
    <w:p w14:paraId="4AEA257F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t>3. Investigate Central region performance</w:t>
      </w:r>
    </w:p>
    <w:p w14:paraId="13AD477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Examine product mix, discounting and operating factors contributing to the region's lower margin.</w:t>
      </w:r>
    </w:p>
    <w:p w14:paraId="799A6668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t>4. Protect profitable products</w:t>
      </w:r>
    </w:p>
    <w:p w14:paraId="33579200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>Identify products and sub-categories generating consistently strong margins and ensure pricing decisions do not unnecessarily reduce their profitability.</w:t>
      </w:r>
    </w:p>
    <w:p w14:paraId="4188EB55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Continue monitoring returns</w:t>
      </w:r>
    </w:p>
    <w:p w14:paraId="1E6F88C0" w14:textId="3D52653E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Track return rates by product and sub-category to identify recurring patterns, while </w:t>
      </w:r>
      <w:proofErr w:type="spellStart"/>
      <w:r w:rsidRPr="0075582E">
        <w:rPr>
          <w:rFonts w:ascii="Times New Roman" w:eastAsia="Times New Roman" w:hAnsi="Times New Roman" w:cs="Times New Roman"/>
          <w:sz w:val="24"/>
          <w:szCs w:val="24"/>
        </w:rPr>
        <w:t>recognising</w:t>
      </w:r>
      <w:proofErr w:type="spellEnd"/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that returns are not currently the largest profitability concern identified by this analysis.</w:t>
      </w:r>
    </w:p>
    <w:p w14:paraId="37DDFB14" w14:textId="77777777" w:rsidR="0075582E" w:rsidRPr="0075582E" w:rsidRDefault="0075582E" w:rsidP="00755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82E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14:paraId="59F5F320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analysis demonstrates a retail business experiencing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strong sales and profit growth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, but with significant variation in profitability across products, categories, regions and discount levels.</w:t>
      </w:r>
    </w:p>
    <w:p w14:paraId="4B7CE9B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The key opportunity is not simply to increase sales, but to </w:t>
      </w: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improve the quality of revenue by protecting margins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>. The Power BI dashboard provides an interactive way for decision-makers to monitor these patterns and investigate areas requiring further attention.</w:t>
      </w:r>
    </w:p>
    <w:p w14:paraId="121E07B1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Excel • SQL Server • Power BI</w:t>
      </w:r>
    </w:p>
    <w:p w14:paraId="2519C35B" w14:textId="77777777" w:rsidR="0075582E" w:rsidRPr="0075582E" w:rsidRDefault="0075582E" w:rsidP="0075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2E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outputs:</w:t>
      </w:r>
      <w:r w:rsidRPr="0075582E">
        <w:rPr>
          <w:rFonts w:ascii="Times New Roman" w:eastAsia="Times New Roman" w:hAnsi="Times New Roman" w:cs="Times New Roman"/>
          <w:sz w:val="24"/>
          <w:szCs w:val="24"/>
        </w:rPr>
        <w:t xml:space="preserve"> Data preparation • SQL analysis • Interactive Power BI dashboard • Executive business report</w:t>
      </w:r>
    </w:p>
    <w:p w14:paraId="162A5FC7" w14:textId="77777777" w:rsidR="00F87249" w:rsidRDefault="00F87249"/>
    <w:sectPr w:rsidR="00F87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A7EB0"/>
    <w:multiLevelType w:val="multilevel"/>
    <w:tmpl w:val="088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2E"/>
    <w:rsid w:val="00064731"/>
    <w:rsid w:val="003A28F3"/>
    <w:rsid w:val="00522179"/>
    <w:rsid w:val="00712D42"/>
    <w:rsid w:val="0075582E"/>
    <w:rsid w:val="00826197"/>
    <w:rsid w:val="00F8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5A31"/>
  <w15:chartTrackingRefBased/>
  <w15:docId w15:val="{1956D6FA-2B75-41D7-BE1C-BCFC2AFB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5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5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58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58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5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janetayotomiwa@gmail.com</dc:creator>
  <cp:keywords/>
  <dc:description/>
  <cp:lastModifiedBy>janetayotomiwa@gmail.com</cp:lastModifiedBy>
  <cp:revision>1</cp:revision>
  <dcterms:created xsi:type="dcterms:W3CDTF">2026-09-17T07:39:00Z</dcterms:created>
  <dcterms:modified xsi:type="dcterms:W3CDTF">2026-09-17T07:42:00Z</dcterms:modified>
</cp:coreProperties>
</file>