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jc w:val="center"/>
      </w:pPr>
      <w:r>
        <w:rPr>
          <w:rFonts w:ascii="Arial" w:cs="Arial" w:eastAsia="Arial" w:hAnsi="Arial"/>
          <w:b/>
          <w:bCs/>
          <w:color w:val="4F46E5"/>
          <w:sz w:val="84"/>
          <w:szCs w:val="84"/>
        </w:rPr>
        <w:t xml:space="preserve">MeetScribe</w:t>
      </w:r>
    </w:p>
    <w:p>
      <w:pPr>
        <w:spacing w:after="400" w:before="0"/>
        <w:jc w:val="center"/>
      </w:pPr>
      <w:r>
        <w:rPr>
          <w:rFonts w:ascii="Arial" w:cs="Arial" w:eastAsia="Arial" w:hAnsi="Arial"/>
          <w:color w:val="1E293B"/>
          <w:sz w:val="36"/>
          <w:szCs w:val="36"/>
        </w:rPr>
        <w:t xml:space="preserve">Smart Meetings for Real People</w:t>
      </w:r>
    </w:p>
    <w:p>
      <w:pPr>
        <w:pStyle w:val="Heading1"/>
        <w:pBdr>
          <w:bottom w:val="single" w:color="4F46E5" w:sz="8" w:space="4"/>
        </w:pBdr>
        <w:spacing w:after="200" w:before="400"/>
      </w:pPr>
      <w:r>
        <w:rPr>
          <w:rFonts w:ascii="Arial" w:cs="Arial" w:eastAsia="Arial" w:hAnsi="Arial"/>
          <w:b/>
          <w:bCs/>
          <w:color w:val="3730A3"/>
          <w:sz w:val="38"/>
          <w:szCs w:val="38"/>
        </w:rPr>
        <w:t xml:space="preserve">Our Story and Mission</w:t>
      </w:r>
    </w:p>
    <w:p>
      <w:pPr>
        <w:spacing w:after="140" w:before="60"/>
        <w:jc w:val="left"/>
      </w:pPr>
      <w:r>
        <w:rPr>
          <w:rFonts w:ascii="Arial" w:cs="Arial" w:eastAsia="Arial" w:hAnsi="Arial"/>
          <w:b w:val="false"/>
          <w:bCs w:val="false"/>
          <w:i w:val="false"/>
          <w:iCs w:val="false"/>
          <w:color w:val="111827"/>
          <w:sz w:val="23"/>
          <w:szCs w:val="23"/>
        </w:rPr>
        <w:t xml:space="preserve">Every day, millions of people sit through meetings and forget the most important parts. We built MeetScribe to fix this. Our goal is to make meetings useful again by giving everyone their own personal assistant that lives right in the browser.</w:t>
      </w:r>
    </w:p>
    <w:p>
      <w:pPr>
        <w:pStyle w:val="Heading2"/>
        <w:spacing w:after="150" w:before="300"/>
      </w:pPr>
      <w:r>
        <w:rPr>
          <w:rFonts w:ascii="Arial" w:cs="Arial" w:eastAsia="Arial" w:hAnsi="Arial"/>
          <w:b/>
          <w:bCs/>
          <w:color w:val="1E293B"/>
          <w:sz w:val="30"/>
          <w:szCs w:val="30"/>
        </w:rPr>
        <w:t xml:space="preserve">Starting with a Simple Foundation</w:t>
      </w:r>
    </w:p>
    <w:p>
      <w:pPr>
        <w:spacing w:after="140" w:before="60"/>
        <w:jc w:val="left"/>
      </w:pPr>
      <w:r>
        <w:rPr>
          <w:rFonts w:ascii="Arial" w:cs="Arial" w:eastAsia="Arial" w:hAnsi="Arial"/>
          <w:b w:val="false"/>
          <w:bCs w:val="false"/>
          <w:i w:val="false"/>
          <w:iCs w:val="false"/>
          <w:color w:val="111827"/>
          <w:sz w:val="23"/>
          <w:szCs w:val="23"/>
        </w:rPr>
        <w:t xml:space="preserve">We aren't trying to replace your favorite meeting apps. Instead, we make them better. Our journey starts as a simple Chrome Extension that works with Google Meet to give you instant, human-like summaries without any effort.</w:t>
      </w:r>
    </w:p>
    <w:p>
      <w:pPr>
        <w:spacing w:after="80" w:before="120"/>
      </w:pPr>
      <w:r>
        <w:rPr>
          <w:rFonts w:ascii="Arial" w:cs="Arial" w:eastAsia="Arial" w:hAnsi="Arial"/>
          <w:b/>
          <w:bCs/>
          <w:color w:val="1E293B"/>
          <w:sz w:val="24"/>
          <w:szCs w:val="24"/>
        </w:rPr>
        <w:t xml:space="preserve">Our Goal: Helping More People Every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gridCol w:w="860"/>
      </w:tblGrid>
      <w:tr>
        <w:tc>
          <w:tcPr>
            <w:tcW w:type="dxa" w:w="2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1"/>
                <w:szCs w:val="21"/>
              </w:rPr>
              <w:t xml:space="preserve">Phase 1: Starting Small</w:t>
            </w:r>
          </w:p>
        </w:tc>
        <w:tc>
          <w:tcPr>
            <w:tcW w:type="dxa" w:w="6000"/>
          </w:tcPr>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
              <w:gridCol w:w="5940"/>
            </w:tblGrid>
            <w:tr>
              <w:tc>
                <w:tcPr>
                  <w:tcW w:type="dxa" w:w="60"/>
                  <w:shd w:fill="4F46E5" w:val="clear"/>
                </w:tcPr>
                <w:p>
                  <w:r>
                    <w:t xml:space="preserve"/>
                  </w:r>
                </w:p>
              </w:tc>
              <w:tc>
                <w:tcPr>
                  <w:tcW w:type="dxa" w:w="5940"/>
                  <w:shd w:fill="F9FAFB" w:val="clear"/>
                </w:tcPr>
                <w:p>
                  <w:r>
                    <w:t xml:space="preserve"/>
                  </w:r>
                </w:p>
              </w:tc>
            </w:tr>
          </w:tbl>
          <w:p/>
        </w:tc>
        <w:tc>
          <w:tcPr>
            <w:tcW w:type="dxa" w:w="8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1"/>
                <w:szCs w:val="21"/>
              </w:rPr>
              <w:t xml:space="preserve">500 users</w:t>
            </w:r>
          </w:p>
        </w:tc>
      </w:tr>
      <w:tr>
        <w:tc>
          <w:tcPr>
            <w:tcW w:type="dxa" w:w="2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1"/>
                <w:szCs w:val="21"/>
              </w:rPr>
              <w:t xml:space="preserve">Phase 2: Growing Up</w:t>
            </w:r>
          </w:p>
        </w:tc>
        <w:tc>
          <w:tcPr>
            <w:tcW w:type="dxa" w:w="6000"/>
          </w:tcPr>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tblGrid>
            <w:tr>
              <w:tc>
                <w:tcPr>
                  <w:tcW w:type="dxa" w:w="600"/>
                  <w:shd w:fill="4F46E5" w:val="clear"/>
                </w:tcPr>
                <w:p>
                  <w:r>
                    <w:t xml:space="preserve"/>
                  </w:r>
                </w:p>
              </w:tc>
              <w:tc>
                <w:tcPr>
                  <w:tcW w:type="dxa" w:w="5400"/>
                  <w:shd w:fill="F9FAFB" w:val="clear"/>
                </w:tcPr>
                <w:p>
                  <w:r>
                    <w:t xml:space="preserve"/>
                  </w:r>
                </w:p>
              </w:tc>
            </w:tr>
          </w:tbl>
          <w:p/>
        </w:tc>
        <w:tc>
          <w:tcPr>
            <w:tcW w:type="dxa" w:w="8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1"/>
                <w:szCs w:val="21"/>
              </w:rPr>
              <w:t xml:space="preserve">5000 users</w:t>
            </w:r>
          </w:p>
        </w:tc>
      </w:tr>
      <w:tr>
        <w:tc>
          <w:tcPr>
            <w:tcW w:type="dxa" w:w="2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1"/>
                <w:szCs w:val="21"/>
              </w:rPr>
              <w:t xml:space="preserve">Phase 3: Reaching Everyone</w:t>
            </w:r>
          </w:p>
        </w:tc>
        <w:tc>
          <w:tcPr>
            <w:tcW w:type="dxa" w:w="6000"/>
          </w:tcPr>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gridCol w:w="1"/>
            </w:tblGrid>
            <w:tr>
              <w:tc>
                <w:tcPr>
                  <w:tcW w:type="dxa" w:w="6000"/>
                  <w:shd w:fill="4F46E5" w:val="clear"/>
                </w:tcPr>
                <w:p>
                  <w:r>
                    <w:t xml:space="preserve"/>
                  </w:r>
                </w:p>
              </w:tc>
              <w:tc>
                <w:tcPr>
                  <w:tcW w:type="dxa" w:w="0"/>
                  <w:shd w:fill="F9FAFB" w:val="clear"/>
                </w:tcPr>
                <w:p>
                  <w:r>
                    <w:t xml:space="preserve"/>
                  </w:r>
                </w:p>
              </w:tc>
            </w:tr>
          </w:tbl>
          <w:p/>
        </w:tc>
        <w:tc>
          <w:tcPr>
            <w:tcW w:type="dxa" w:w="8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1"/>
                <w:szCs w:val="21"/>
              </w:rPr>
              <w:t xml:space="preserve">50000 users</w:t>
            </w:r>
          </w:p>
        </w:tc>
      </w:tr>
    </w:tbl>
    <w:p>
      <w:pPr>
        <w:spacing w:after="160" w:before="0"/>
      </w:pPr>
      <w:r>
        <w:t xml:space="preserve"/>
      </w:r>
    </w:p>
    <w:p>
      <w:r>
        <w:br w:type="page"/>
      </w:r>
    </w:p>
    <w:p>
      <w:pPr>
        <w:pStyle w:val="Heading1"/>
        <w:pBdr>
          <w:bottom w:val="single" w:color="4F46E5" w:sz="8" w:space="4"/>
        </w:pBdr>
        <w:spacing w:after="200" w:before="400"/>
      </w:pPr>
      <w:r>
        <w:rPr>
          <w:rFonts w:ascii="Arial" w:cs="Arial" w:eastAsia="Arial" w:hAnsi="Arial"/>
          <w:b/>
          <w:bCs/>
          <w:color w:val="3730A3"/>
          <w:sz w:val="38"/>
          <w:szCs w:val="38"/>
        </w:rPr>
        <w:t xml:space="preserve">Why People Choose MeetScribe</w:t>
      </w:r>
    </w:p>
    <w:p>
      <w:pPr>
        <w:spacing w:after="140" w:before="60"/>
        <w:jc w:val="left"/>
      </w:pPr>
      <w:r>
        <w:rPr>
          <w:rFonts w:ascii="Arial" w:cs="Arial" w:eastAsia="Arial" w:hAnsi="Arial"/>
          <w:b w:val="false"/>
          <w:bCs w:val="false"/>
          <w:i w:val="false"/>
          <w:iCs w:val="false"/>
          <w:color w:val="111827"/>
          <w:sz w:val="23"/>
          <w:szCs w:val="23"/>
        </w:rPr>
        <w:t xml:space="preserve">Most big companies lock you into their own systems. We believe you should have the freedom to meet anywhere and still have great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1"/>
                <w:szCs w:val="21"/>
              </w:rPr>
              <w:t xml:space="preserve">The Difference</w:t>
            </w:r>
          </w:p>
        </w:tc>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1"/>
                <w:szCs w:val="21"/>
              </w:rPr>
              <w:t xml:space="preserve">The Big Companies</w:t>
            </w:r>
          </w:p>
        </w:tc>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1"/>
                <w:szCs w:val="21"/>
              </w:rPr>
              <w:t xml:space="preserve">MeetScribe</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1"/>
                <w:szCs w:val="21"/>
              </w:rPr>
              <w:t xml:space="preserve">Where it works</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1"/>
                <w:szCs w:val="21"/>
              </w:rPr>
              <w:t xml:space="preserve">Only on their own site</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4F46E5"/>
                <w:sz w:val="21"/>
                <w:szCs w:val="21"/>
              </w:rPr>
              <w:t xml:space="preserve">Everywhere you meet</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1"/>
                <w:szCs w:val="21"/>
              </w:rPr>
              <w:t xml:space="preserve">Languages</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1"/>
                <w:szCs w:val="21"/>
              </w:rPr>
              <w:t xml:space="preserve">Mostly English</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4F46E5"/>
                <w:sz w:val="21"/>
                <w:szCs w:val="21"/>
              </w:rPr>
              <w:t xml:space="preserve">Hindi, Kannada, and Telugu</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1"/>
                <w:szCs w:val="21"/>
              </w:rPr>
              <w:t xml:space="preserve">Your Data</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1"/>
                <w:szCs w:val="21"/>
              </w:rPr>
              <w:t xml:space="preserve">They own it</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4F46E5"/>
                <w:sz w:val="21"/>
                <w:szCs w:val="21"/>
              </w:rPr>
              <w:t xml:space="preserve">You keep it private</w:t>
            </w:r>
          </w:p>
        </w:tc>
      </w:tr>
    </w:tbl>
    <w:p>
      <w:pPr>
        <w:pStyle w:val="Heading2"/>
        <w:spacing w:after="150" w:before="300"/>
      </w:pPr>
      <w:r>
        <w:rPr>
          <w:rFonts w:ascii="Arial" w:cs="Arial" w:eastAsia="Arial" w:hAnsi="Arial"/>
          <w:b/>
          <w:bCs/>
          <w:color w:val="1E293B"/>
          <w:sz w:val="30"/>
          <w:szCs w:val="30"/>
        </w:rPr>
        <w:t xml:space="preserve">A Simple, Scalable Advantage</w:t>
      </w:r>
    </w:p>
    <w:p>
      <w:pPr>
        <w:spacing w:after="140" w:before="60"/>
        <w:jc w:val="left"/>
      </w:pPr>
      <w:r>
        <w:rPr>
          <w:rFonts w:ascii="Arial" w:cs="Arial" w:eastAsia="Arial" w:hAnsi="Arial"/>
          <w:b w:val="false"/>
          <w:bCs w:val="false"/>
          <w:i w:val="false"/>
          <w:iCs w:val="false"/>
          <w:color w:val="111827"/>
          <w:sz w:val="23"/>
          <w:szCs w:val="23"/>
        </w:rPr>
        <w:t xml:space="preserve">Because we live in the browser, we don't have to build expensive servers for every call. This makes us faster, cheaper, and much easier to scale as more people join us.</w:t>
      </w:r>
    </w:p>
    <w:p>
      <w:r>
        <w:br w:type="page"/>
      </w:r>
    </w:p>
    <w:p>
      <w:pPr>
        <w:pStyle w:val="Heading1"/>
        <w:pBdr>
          <w:bottom w:val="single" w:color="4F46E5" w:sz="8" w:space="4"/>
        </w:pBdr>
        <w:spacing w:after="200" w:before="400"/>
      </w:pPr>
      <w:r>
        <w:rPr>
          <w:rFonts w:ascii="Arial" w:cs="Arial" w:eastAsia="Arial" w:hAnsi="Arial"/>
          <w:b/>
          <w:bCs/>
          <w:color w:val="3730A3"/>
          <w:sz w:val="38"/>
          <w:szCs w:val="38"/>
        </w:rPr>
        <w:t xml:space="preserve">Our Path to Growth</w:t>
      </w:r>
    </w:p>
    <w:p>
      <w:pPr>
        <w:spacing w:after="140" w:before="60"/>
        <w:jc w:val="left"/>
      </w:pPr>
      <w:r>
        <w:rPr>
          <w:rFonts w:ascii="Arial" w:cs="Arial" w:eastAsia="Arial" w:hAnsi="Arial"/>
          <w:b w:val="false"/>
          <w:bCs w:val="false"/>
          <w:i w:val="false"/>
          <w:iCs w:val="false"/>
          <w:color w:val="111827"/>
          <w:sz w:val="23"/>
          <w:szCs w:val="23"/>
        </w:rPr>
        <w:t xml:space="preserve">We follow a natural path that focuses on making users happy first, then building a sustainable business.</w:t>
      </w:r>
    </w:p>
    <w:p>
      <w:pPr>
        <w:pStyle w:val="Heading2"/>
        <w:spacing w:after="150" w:before="300"/>
      </w:pPr>
      <w:r>
        <w:rPr>
          <w:rFonts w:ascii="Arial" w:cs="Arial" w:eastAsia="Arial" w:hAnsi="Arial"/>
          <w:b/>
          <w:bCs/>
          <w:color w:val="1E293B"/>
          <w:sz w:val="30"/>
          <w:szCs w:val="30"/>
        </w:rPr>
        <w:t xml:space="preserve">Step 1: Being Helpful First</w:t>
      </w:r>
    </w:p>
    <w:p>
      <w:pPr>
        <w:spacing w:after="140" w:before="60"/>
        <w:jc w:val="left"/>
      </w:pPr>
      <w:r>
        <w:rPr>
          <w:rFonts w:ascii="Arial" w:cs="Arial" w:eastAsia="Arial" w:hAnsi="Arial"/>
          <w:b w:val="false"/>
          <w:bCs w:val="false"/>
          <w:i w:val="false"/>
          <w:iCs w:val="false"/>
          <w:color w:val="111827"/>
          <w:sz w:val="23"/>
          <w:szCs w:val="23"/>
        </w:rPr>
        <w:t xml:space="preserve">We offer a free version that anyone can use. This helps us learn what people really need and builds a community of fans without spending money on ads.</w:t>
      </w:r>
    </w:p>
    <w:p>
      <w:pPr>
        <w:pStyle w:val="Heading2"/>
        <w:spacing w:after="150" w:before="300"/>
      </w:pPr>
      <w:r>
        <w:rPr>
          <w:rFonts w:ascii="Arial" w:cs="Arial" w:eastAsia="Arial" w:hAnsi="Arial"/>
          <w:b/>
          <w:bCs/>
          <w:color w:val="1E293B"/>
          <w:sz w:val="30"/>
          <w:szCs w:val="30"/>
        </w:rPr>
        <w:t xml:space="preserve">Step 2: Adding Power Features</w:t>
      </w:r>
    </w:p>
    <w:p>
      <w:pPr>
        <w:spacing w:after="140" w:before="60"/>
        <w:jc w:val="left"/>
      </w:pPr>
      <w:r>
        <w:rPr>
          <w:rFonts w:ascii="Arial" w:cs="Arial" w:eastAsia="Arial" w:hAnsi="Arial"/>
          <w:b w:val="false"/>
          <w:bCs w:val="false"/>
          <w:i w:val="false"/>
          <w:iCs w:val="false"/>
          <w:color w:val="111827"/>
          <w:sz w:val="23"/>
          <w:szCs w:val="23"/>
        </w:rPr>
        <w:t xml:space="preserve">Once people love the basics, we offer extra features like automatic Jira tickets and local language support for a small monthly subscription.</w:t>
      </w:r>
    </w:p>
    <w:p>
      <w:pPr>
        <w:spacing w:after="80" w:before="120"/>
      </w:pPr>
      <w:r>
        <w:rPr>
          <w:rFonts w:ascii="Arial" w:cs="Arial" w:eastAsia="Arial" w:hAnsi="Arial"/>
          <w:b/>
          <w:bCs/>
          <w:color w:val="1E293B"/>
          <w:sz w:val="24"/>
          <w:szCs w:val="24"/>
        </w:rPr>
        <w:t xml:space="preserve">Growing Our Income (Steady and Scalable)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gridCol w:w="860"/>
      </w:tblGrid>
      <w:tr>
        <w:tc>
          <w:tcPr>
            <w:tcW w:type="dxa" w:w="2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1"/>
                <w:szCs w:val="21"/>
              </w:rPr>
              <w:t xml:space="preserve">First 12 Months</w:t>
            </w:r>
          </w:p>
        </w:tc>
        <w:tc>
          <w:tcPr>
            <w:tcW w:type="dxa" w:w="6000"/>
          </w:tcPr>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
              <w:gridCol w:w="5760"/>
            </w:tblGrid>
            <w:tr>
              <w:tc>
                <w:tcPr>
                  <w:tcW w:type="dxa" w:w="240"/>
                  <w:shd w:fill="4F46E5" w:val="clear"/>
                </w:tcPr>
                <w:p>
                  <w:r>
                    <w:t xml:space="preserve"/>
                  </w:r>
                </w:p>
              </w:tc>
              <w:tc>
                <w:tcPr>
                  <w:tcW w:type="dxa" w:w="5760"/>
                  <w:shd w:fill="F9FAFB" w:val="clear"/>
                </w:tcPr>
                <w:p>
                  <w:r>
                    <w:t xml:space="preserve"/>
                  </w:r>
                </w:p>
              </w:tc>
            </w:tr>
          </w:tbl>
          <w:p/>
        </w:tc>
        <w:tc>
          <w:tcPr>
            <w:tcW w:type="dxa" w:w="8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1"/>
                <w:szCs w:val="21"/>
              </w:rPr>
              <w:t xml:space="preserve">3 Lakhs</w:t>
            </w:r>
          </w:p>
        </w:tc>
      </w:tr>
      <w:tr>
        <w:tc>
          <w:tcPr>
            <w:tcW w:type="dxa" w:w="2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1"/>
                <w:szCs w:val="21"/>
              </w:rPr>
              <w:t xml:space="preserve">Next 12 Months</w:t>
            </w:r>
          </w:p>
        </w:tc>
        <w:tc>
          <w:tcPr>
            <w:tcW w:type="dxa" w:w="6000"/>
          </w:tcPr>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440"/>
              <w:gridCol w:w="4560"/>
            </w:tblGrid>
            <w:tr>
              <w:tc>
                <w:tcPr>
                  <w:tcW w:type="dxa" w:w="1440"/>
                  <w:shd w:fill="4F46E5" w:val="clear"/>
                </w:tcPr>
                <w:p>
                  <w:r>
                    <w:t xml:space="preserve"/>
                  </w:r>
                </w:p>
              </w:tc>
              <w:tc>
                <w:tcPr>
                  <w:tcW w:type="dxa" w:w="4560"/>
                  <w:shd w:fill="F9FAFB" w:val="clear"/>
                </w:tcPr>
                <w:p>
                  <w:r>
                    <w:t xml:space="preserve"/>
                  </w:r>
                </w:p>
              </w:tc>
            </w:tr>
          </w:tbl>
          <w:p/>
        </w:tc>
        <w:tc>
          <w:tcPr>
            <w:tcW w:type="dxa" w:w="8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1"/>
                <w:szCs w:val="21"/>
              </w:rPr>
              <w:t xml:space="preserve">18 Lakhs</w:t>
            </w:r>
          </w:p>
        </w:tc>
      </w:tr>
      <w:tr>
        <w:tc>
          <w:tcPr>
            <w:tcW w:type="dxa" w:w="2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1"/>
                <w:szCs w:val="21"/>
              </w:rPr>
              <w:t xml:space="preserve">The Third Year</w:t>
            </w:r>
          </w:p>
        </w:tc>
        <w:tc>
          <w:tcPr>
            <w:tcW w:type="dxa" w:w="6000"/>
          </w:tcPr>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gridCol w:w="1"/>
            </w:tblGrid>
            <w:tr>
              <w:tc>
                <w:tcPr>
                  <w:tcW w:type="dxa" w:w="6000"/>
                  <w:shd w:fill="4F46E5" w:val="clear"/>
                </w:tcPr>
                <w:p>
                  <w:r>
                    <w:t xml:space="preserve"/>
                  </w:r>
                </w:p>
              </w:tc>
              <w:tc>
                <w:tcPr>
                  <w:tcW w:type="dxa" w:w="0"/>
                  <w:shd w:fill="F9FAFB" w:val="clear"/>
                </w:tcPr>
                <w:p>
                  <w:r>
                    <w:t xml:space="preserve"/>
                  </w:r>
                </w:p>
              </w:tc>
            </w:tr>
          </w:tbl>
          <w:p/>
        </w:tc>
        <w:tc>
          <w:tcPr>
            <w:tcW w:type="dxa" w:w="8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1"/>
                <w:szCs w:val="21"/>
              </w:rPr>
              <w:t xml:space="preserve">75 Lakhs</w:t>
            </w:r>
          </w:p>
        </w:tc>
      </w:tr>
    </w:tbl>
    <w:p>
      <w:pPr>
        <w:spacing w:after="160" w:before="0"/>
      </w:pPr>
      <w:r>
        <w:t xml:space="preserve"/>
      </w:r>
    </w:p>
    <w:p>
      <w:pPr>
        <w:pStyle w:val="Heading2"/>
        <w:spacing w:after="150" w:before="300"/>
      </w:pPr>
      <w:r>
        <w:rPr>
          <w:rFonts w:ascii="Arial" w:cs="Arial" w:eastAsia="Arial" w:hAnsi="Arial"/>
          <w:b/>
          <w:bCs/>
          <w:color w:val="1E293B"/>
          <w:sz w:val="30"/>
          <w:szCs w:val="30"/>
        </w:rPr>
        <w:t xml:space="preserve">Step 3: Partnering with Teams</w:t>
      </w:r>
    </w:p>
    <w:p>
      <w:pPr>
        <w:spacing w:after="140" w:before="60"/>
        <w:jc w:val="left"/>
      </w:pPr>
      <w:r>
        <w:rPr>
          <w:rFonts w:ascii="Arial" w:cs="Arial" w:eastAsia="Arial" w:hAnsi="Arial"/>
          <w:b w:val="false"/>
          <w:bCs w:val="false"/>
          <w:i w:val="false"/>
          <w:iCs w:val="false"/>
          <w:color w:val="111827"/>
          <w:sz w:val="23"/>
          <w:szCs w:val="23"/>
        </w:rPr>
        <w:t xml:space="preserve">Finally, we help whole companies stay organized with dashboards and team-wide summaries. This is where we see our biggest growth and impact.</w:t>
      </w:r>
    </w:p>
    <w:p>
      <w:r>
        <w:br w:type="page"/>
      </w:r>
    </w:p>
    <w:p>
      <w:pPr>
        <w:pStyle w:val="Heading1"/>
        <w:pBdr>
          <w:bottom w:val="single" w:color="4F46E5" w:sz="8" w:space="4"/>
        </w:pBdr>
        <w:spacing w:after="200" w:before="400"/>
      </w:pPr>
      <w:r>
        <w:rPr>
          <w:rFonts w:ascii="Arial" w:cs="Arial" w:eastAsia="Arial" w:hAnsi="Arial"/>
          <w:b/>
          <w:bCs/>
          <w:color w:val="3730A3"/>
          <w:sz w:val="38"/>
          <w:szCs w:val="38"/>
        </w:rPr>
        <w:t xml:space="preserve">Simple and Fair Pricing</w:t>
      </w:r>
    </w:p>
    <w:p>
      <w:pPr>
        <w:spacing w:after="140" w:before="60"/>
        <w:jc w:val="left"/>
      </w:pPr>
      <w:r>
        <w:rPr>
          <w:rFonts w:ascii="Arial" w:cs="Arial" w:eastAsia="Arial" w:hAnsi="Arial"/>
          <w:b w:val="false"/>
          <w:bCs w:val="false"/>
          <w:i w:val="false"/>
          <w:iCs w:val="false"/>
          <w:color w:val="111827"/>
          <w:sz w:val="23"/>
          <w:szCs w:val="23"/>
        </w:rPr>
        <w:t xml:space="preserve">We believe in keeping things clear and honest. No hidden fees, just simple plans that grow with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DD" w:sz="1"/>
              <w:left w:val="single" w:color="DDDDDD" w:sz="1"/>
              <w:bottom w:val="single" w:color="DDDDDD" w:sz="1"/>
              <w:right w:val="single" w:color="DDDDDD" w:sz="1"/>
            </w:tcBorders>
            <w:shd w:fill="F9FAFB" w:val="clear"/>
            <w:tcMar>
              <w:top w:type="dxa" w:w="120"/>
              <w:left w:type="dxa" w:w="160"/>
              <w:bottom w:type="dxa" w:w="120"/>
              <w:right w:type="dxa" w:w="160"/>
            </w:tcMar>
            <w:vAlign w:val="center"/>
          </w:tcPr>
          <w:p>
            <w:pPr>
              <w:jc w:val="center"/>
            </w:pPr>
            <w:r>
              <w:rPr>
                <w:rFonts w:ascii="Arial" w:cs="Arial" w:eastAsia="Arial" w:hAnsi="Arial"/>
                <w:b/>
                <w:bCs/>
                <w:color w:val="111827"/>
                <w:sz w:val="21"/>
                <w:szCs w:val="21"/>
              </w:rPr>
              <w:t xml:space="preserve">The Free Plan</w:t>
            </w:r>
          </w:p>
        </w:tc>
        <w:tc>
          <w:tcPr>
            <w:tcBorders>
              <w:top w:val="single" w:color="DDDDDD" w:sz="1"/>
              <w:left w:val="single" w:color="DDDDDD" w:sz="1"/>
              <w:bottom w:val="single" w:color="DDDDDD" w:sz="1"/>
              <w:right w:val="single" w:color="DDDDDD" w:sz="1"/>
            </w:tcBorders>
            <w:shd w:fill="CCFBF1" w:val="clear"/>
            <w:tcMar>
              <w:top w:type="dxa" w:w="120"/>
              <w:left w:type="dxa" w:w="160"/>
              <w:bottom w:type="dxa" w:w="120"/>
              <w:right w:type="dxa" w:w="160"/>
            </w:tcMar>
            <w:vAlign w:val="center"/>
          </w:tcPr>
          <w:p>
            <w:pPr>
              <w:jc w:val="center"/>
            </w:pPr>
            <w:r>
              <w:rPr>
                <w:rFonts w:ascii="Arial" w:cs="Arial" w:eastAsia="Arial" w:hAnsi="Arial"/>
                <w:b/>
                <w:bCs/>
                <w:color w:val="111827"/>
                <w:sz w:val="21"/>
                <w:szCs w:val="21"/>
              </w:rPr>
              <w:t xml:space="preserve">The Pro Plan</w:t>
            </w:r>
          </w:p>
        </w:tc>
        <w:tc>
          <w:tcPr>
            <w:tcBorders>
              <w:top w:val="single" w:color="DDDDDD" w:sz="1"/>
              <w:left w:val="single" w:color="DDDDDD" w:sz="1"/>
              <w:bottom w:val="single" w:color="DDDDDD" w:sz="1"/>
              <w:right w:val="single" w:color="DDDDDD" w:sz="1"/>
            </w:tcBorders>
            <w:shd w:fill="EEF2FF" w:val="clear"/>
            <w:tcMar>
              <w:top w:type="dxa" w:w="120"/>
              <w:left w:type="dxa" w:w="160"/>
              <w:bottom w:type="dxa" w:w="120"/>
              <w:right w:type="dxa" w:w="160"/>
            </w:tcMar>
            <w:vAlign w:val="center"/>
          </w:tcPr>
          <w:p>
            <w:pPr>
              <w:jc w:val="center"/>
            </w:pPr>
            <w:r>
              <w:rPr>
                <w:rFonts w:ascii="Arial" w:cs="Arial" w:eastAsia="Arial" w:hAnsi="Arial"/>
                <w:b/>
                <w:bCs/>
                <w:color w:val="111827"/>
                <w:sz w:val="21"/>
                <w:szCs w:val="21"/>
              </w:rPr>
              <w:t xml:space="preserve">The Team Plan</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111827"/>
                <w:sz w:val="30"/>
                <w:szCs w:val="30"/>
              </w:rPr>
              <w:t xml:space="preserve">Rs. 0</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0D9488"/>
                <w:sz w:val="30"/>
                <w:szCs w:val="30"/>
              </w:rPr>
              <w:t xml:space="preserve">Rs. 839</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center"/>
            </w:pPr>
            <w:r>
              <w:rPr>
                <w:rFonts w:ascii="Arial" w:cs="Arial" w:eastAsia="Arial" w:hAnsi="Arial"/>
                <w:b/>
                <w:bCs/>
                <w:color w:val="4F46E5"/>
                <w:sz w:val="30"/>
                <w:szCs w:val="30"/>
              </w:rPr>
              <w:t xml:space="preserve">Rs. 1,259</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5 meetings every month and basic notes in English</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Unlimited meetings and Jira integration and local languages</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Team dashboard and privacy alerts and admin tools</w:t>
            </w:r>
          </w:p>
        </w:tc>
      </w:tr>
    </w:tbl>
    <w:p>
      <w:pPr>
        <w:pStyle w:val="Heading2"/>
        <w:spacing w:after="150" w:before="300"/>
      </w:pPr>
      <w:r>
        <w:rPr>
          <w:rFonts w:ascii="Arial" w:cs="Arial" w:eastAsia="Arial" w:hAnsi="Arial"/>
          <w:b/>
          <w:bCs/>
          <w:color w:val="1E293B"/>
          <w:sz w:val="30"/>
          <w:szCs w:val="30"/>
        </w:rPr>
        <w:t xml:space="preserve">A Healthy Business</w:t>
      </w:r>
    </w:p>
    <w:p>
      <w:pPr>
        <w:spacing w:after="140" w:before="60"/>
        <w:jc w:val="left"/>
      </w:pPr>
      <w:r>
        <w:rPr>
          <w:rFonts w:ascii="Arial" w:cs="Arial" w:eastAsia="Arial" w:hAnsi="Arial"/>
          <w:b w:val="false"/>
          <w:bCs w:val="false"/>
          <w:i w:val="false"/>
          <w:iCs w:val="false"/>
          <w:color w:val="111827"/>
          <w:sz w:val="23"/>
          <w:szCs w:val="23"/>
        </w:rPr>
        <w:t xml:space="preserve">Our business is very efficient. For every 100 Rupees we earn, we only spend about 12 Rupees on technology. This means we can reinvest more into making the product better for you.</w:t>
      </w:r>
    </w:p>
    <w:p>
      <w:r>
        <w:br w:type="page"/>
      </w:r>
    </w:p>
    <w:p>
      <w:pPr>
        <w:pStyle w:val="Heading1"/>
        <w:pBdr>
          <w:bottom w:val="single" w:color="4F46E5" w:sz="8" w:space="4"/>
        </w:pBdr>
        <w:spacing w:after="200" w:before="400"/>
      </w:pPr>
      <w:r>
        <w:rPr>
          <w:rFonts w:ascii="Arial" w:cs="Arial" w:eastAsia="Arial" w:hAnsi="Arial"/>
          <w:b/>
          <w:bCs/>
          <w:color w:val="3730A3"/>
          <w:sz w:val="38"/>
          <w:szCs w:val="38"/>
        </w:rPr>
        <w:t xml:space="preserve">A Human Experience</w:t>
      </w:r>
    </w:p>
    <w:p>
      <w:pPr>
        <w:spacing w:after="140" w:before="60"/>
        <w:jc w:val="left"/>
      </w:pPr>
      <w:r>
        <w:rPr>
          <w:rFonts w:ascii="Arial" w:cs="Arial" w:eastAsia="Arial" w:hAnsi="Arial"/>
          <w:b w:val="false"/>
          <w:bCs w:val="false"/>
          <w:i w:val="false"/>
          <w:iCs w:val="false"/>
          <w:color w:val="111827"/>
          <w:sz w:val="23"/>
          <w:szCs w:val="23"/>
        </w:rPr>
        <w:t xml:space="preserve">Using MeetScribe feels natural. It stays in the background and only speaks up when you need it to.</w:t>
      </w:r>
    </w:p>
    <w:p>
      <w:pPr>
        <w:pStyle w:val="ListParagraph"/>
        <w:numPr>
          <w:ilvl w:val="0"/>
          <w:numId w:val="2"/>
        </w:numPr>
        <w:spacing w:after="100" w:before="50"/>
      </w:pPr>
      <w:r>
        <w:rPr>
          <w:rFonts w:ascii="Arial" w:cs="Arial" w:eastAsia="Arial" w:hAnsi="Arial"/>
          <w:color w:val="111827"/>
          <w:sz w:val="23"/>
          <w:szCs w:val="23"/>
        </w:rPr>
        <w:t xml:space="preserve">You start your meeting just like you always do.</w:t>
      </w:r>
    </w:p>
    <w:p>
      <w:pPr>
        <w:pStyle w:val="ListParagraph"/>
        <w:numPr>
          <w:ilvl w:val="0"/>
          <w:numId w:val="2"/>
        </w:numPr>
        <w:spacing w:after="100" w:before="50"/>
      </w:pPr>
      <w:r>
        <w:rPr>
          <w:rFonts w:ascii="Arial" w:cs="Arial" w:eastAsia="Arial" w:hAnsi="Arial"/>
          <w:color w:val="111827"/>
          <w:sz w:val="23"/>
          <w:szCs w:val="23"/>
        </w:rPr>
        <w:t xml:space="preserve">MeetScribe listens quietly and understands what is being said.</w:t>
      </w:r>
    </w:p>
    <w:p>
      <w:pPr>
        <w:pStyle w:val="ListParagraph"/>
        <w:numPr>
          <w:ilvl w:val="0"/>
          <w:numId w:val="2"/>
        </w:numPr>
        <w:spacing w:after="100" w:before="50"/>
      </w:pPr>
      <w:r>
        <w:rPr>
          <w:rFonts w:ascii="Arial" w:cs="Arial" w:eastAsia="Arial" w:hAnsi="Arial"/>
          <w:color w:val="111827"/>
          <w:sz w:val="23"/>
          <w:szCs w:val="23"/>
        </w:rPr>
        <w:t xml:space="preserve">It identifies who is talking and what the key points are.</w:t>
      </w:r>
    </w:p>
    <w:p>
      <w:pPr>
        <w:pStyle w:val="ListParagraph"/>
        <w:numPr>
          <w:ilvl w:val="0"/>
          <w:numId w:val="2"/>
        </w:numPr>
        <w:spacing w:after="100" w:before="50"/>
      </w:pPr>
      <w:r>
        <w:rPr>
          <w:rFonts w:ascii="Arial" w:cs="Arial" w:eastAsia="Arial" w:hAnsi="Arial"/>
          <w:color w:val="111827"/>
          <w:sz w:val="23"/>
          <w:szCs w:val="23"/>
        </w:rPr>
        <w:t xml:space="preserve">As soon as you finish, your summary is ready and waiting.</w:t>
      </w:r>
    </w:p>
    <w:p>
      <w:pPr>
        <w:pStyle w:val="Heading2"/>
        <w:spacing w:after="150" w:before="300"/>
      </w:pPr>
      <w:r>
        <w:rPr>
          <w:rFonts w:ascii="Arial" w:cs="Arial" w:eastAsia="Arial" w:hAnsi="Arial"/>
          <w:b/>
          <w:bCs/>
          <w:color w:val="1E293B"/>
          <w:sz w:val="30"/>
          <w:szCs w:val="30"/>
        </w:rPr>
        <w:t xml:space="preserve">What's Coming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1"/>
                <w:szCs w:val="21"/>
              </w:rPr>
              <w:t xml:space="preserve">Our Timeline</w:t>
            </w:r>
          </w:p>
        </w:tc>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1"/>
                <w:szCs w:val="21"/>
              </w:rPr>
              <w:t xml:space="preserve">What we are bringing to you</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1"/>
                <w:szCs w:val="21"/>
              </w:rPr>
              <w:t xml:space="preserve">The First Quarter</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1"/>
                <w:szCs w:val="21"/>
              </w:rPr>
              <w:t xml:space="preserve">Launching our core tool for Google Meet and basic notes</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1"/>
                <w:szCs w:val="21"/>
              </w:rPr>
              <w:t xml:space="preserve">The Second Quarter</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1"/>
                <w:szCs w:val="21"/>
              </w:rPr>
              <w:t xml:space="preserve">Adding payments and support for Hindi and other languages</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1"/>
                <w:szCs w:val="21"/>
              </w:rPr>
              <w:t xml:space="preserve">The Third Quarter</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1"/>
                <w:szCs w:val="21"/>
              </w:rPr>
              <w:t xml:space="preserve">Bringing MeetScribe to Zoom and Teams and adding Jira</w:t>
            </w:r>
          </w:p>
        </w:tc>
      </w:tr>
    </w:tbl>
    <w:p>
      <w:r>
        <w:br w:type="page"/>
      </w:r>
    </w:p>
    <w:p>
      <w:pPr>
        <w:pStyle w:val="Heading1"/>
        <w:pBdr>
          <w:bottom w:val="single" w:color="4F46E5" w:sz="8" w:space="4"/>
        </w:pBdr>
        <w:spacing w:after="200" w:before="400"/>
      </w:pPr>
      <w:r>
        <w:rPr>
          <w:rFonts w:ascii="Arial" w:cs="Arial" w:eastAsia="Arial" w:hAnsi="Arial"/>
          <w:b/>
          <w:bCs/>
          <w:color w:val="3730A3"/>
          <w:sz w:val="38"/>
          <w:szCs w:val="38"/>
        </w:rPr>
        <w:t xml:space="preserve">Why We Are Doing This</w:t>
      </w:r>
    </w:p>
    <w:p>
      <w:pPr>
        <w:spacing w:after="140" w:before="60"/>
        <w:jc w:val="left"/>
      </w:pPr>
      <w:r>
        <w:rPr>
          <w:rFonts w:ascii="Arial" w:cs="Arial" w:eastAsia="Arial" w:hAnsi="Arial"/>
          <w:b w:val="false"/>
          <w:bCs w:val="false"/>
          <w:i w:val="false"/>
          <w:iCs w:val="false"/>
          <w:color w:val="111827"/>
          <w:sz w:val="23"/>
          <w:szCs w:val="23"/>
        </w:rPr>
        <w:t xml:space="preserve">We want to live in a world where meetings lead to action, not just more meetings. MeetScribe is our way of making work more human, organized, and productive for everyone.</w:t>
      </w:r>
    </w:p>
    <w:p>
      <w:pPr>
        <w:pStyle w:val="Heading2"/>
        <w:spacing w:after="150" w:before="300"/>
      </w:pPr>
      <w:r>
        <w:rPr>
          <w:rFonts w:ascii="Arial" w:cs="Arial" w:eastAsia="Arial" w:hAnsi="Arial"/>
          <w:b/>
          <w:bCs/>
          <w:color w:val="1E293B"/>
          <w:sz w:val="30"/>
          <w:szCs w:val="30"/>
        </w:rPr>
        <w:t xml:space="preserve">The Bottom Line</w:t>
      </w:r>
    </w:p>
    <w:p>
      <w:pPr>
        <w:spacing w:after="140" w:before="60"/>
        <w:jc w:val="left"/>
      </w:pPr>
      <w:r>
        <w:rPr>
          <w:rFonts w:ascii="Arial" w:cs="Arial" w:eastAsia="Arial" w:hAnsi="Arial"/>
          <w:b w:val="false"/>
          <w:bCs w:val="false"/>
          <w:i w:val="false"/>
          <w:iCs w:val="false"/>
          <w:color w:val="111827"/>
          <w:sz w:val="23"/>
          <w:szCs w:val="23"/>
        </w:rPr>
        <w:t xml:space="preserve">We have a plan that starts small, stays feasible, and scales with our users. By focusing on people and privacy, we are building a tool that will define the future of how we work together.</w:t>
      </w:r>
    </w:p>
    <w:p>
      <w:pPr>
        <w:spacing w:after="800" w:before="0"/>
      </w:pPr>
      <w:r>
        <w:t xml:space="preserve"/>
      </w:r>
    </w:p>
    <w:p>
      <w:pPr>
        <w:jc w:val="center"/>
      </w:pPr>
      <w:r>
        <w:rPr>
          <w:rFonts w:ascii="Arial" w:cs="Arial" w:eastAsia="Arial" w:hAnsi="Arial"/>
          <w:b/>
          <w:bCs/>
          <w:color w:val="4F46E5"/>
          <w:sz w:val="34"/>
          <w:szCs w:val="34"/>
        </w:rPr>
        <w:t xml:space="preserve">MeetScribe — Turning Conversations Into Action</w:t>
      </w:r>
    </w:p>
    <w:p>
      <w:pPr>
        <w:jc w:val="center"/>
      </w:pPr>
      <w:r>
        <w:rPr>
          <w:rFonts w:ascii="Arial" w:cs="Arial" w:eastAsia="Arial" w:hAnsi="Arial"/>
          <w:i/>
          <w:iCs/>
          <w:color w:val="6B7280"/>
          <w:sz w:val="20"/>
          <w:szCs w:val="20"/>
        </w:rPr>
        <w:t xml:space="preserve">Our Humanized Strategic Path for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jc w:val="right"/>
    </w:pPr>
    <w:r>
      <w:rPr>
        <w:rFonts w:ascii="Arial" w:cs="Arial" w:eastAsia="Arial" w:hAnsi="Arial"/>
        <w:i/>
        <w:iCs/>
        <w:color w:val="6B7280"/>
        <w:sz w:val="18"/>
        <w:szCs w:val="18"/>
      </w:rPr>
      <w:t xml:space="preserve">MeetScribe — Turning Conversations into Action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00" w:before="400"/>
    </w:pPr>
    <w:rPr>
      <w:rFonts w:ascii="Arial" w:cs="Arial" w:eastAsia="Arial" w:hAnsi="Arial"/>
      <w:b/>
      <w:bCs/>
      <w:color w:val="3730A3"/>
      <w:sz w:val="38"/>
      <w:szCs w:val="38"/>
    </w:rPr>
  </w:style>
  <w:style w:type="paragraph" w:styleId="Heading2">
    <w:name w:val="Heading 2"/>
    <w:pPr>
      <w:spacing w:after="150" w:before="300"/>
    </w:pPr>
    <w:rPr>
      <w:rFonts w:ascii="Arial" w:cs="Arial" w:eastAsia="Arial" w:hAnsi="Arial"/>
      <w:b/>
      <w:bCs/>
      <w:color w:val="1E293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2026-04-23T13:57:22.052Z</dcterms:created>
  <dcterms:modified xsi:type="dcterms:W3CDTF">2026-04-23T13:57:22.054Z</dcterms:modified>
</cp:coreProperties>
</file>

<file path=docProps/custom.xml><?xml version="1.0" encoding="utf-8"?>
<Properties xmlns="http://schemas.openxmlformats.org/officeDocument/2006/custom-properties" xmlns:vt="http://schemas.openxmlformats.org/officeDocument/2006/docPropsVTypes"/>
</file>