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resources</w:t>
        </w:r>
      </w:hyperlink>
      <w:r w:rsidDel="00000000" w:rsidR="00000000" w:rsidRPr="00000000">
        <w:rPr>
          <w:rtl w:val="0"/>
        </w:rPr>
        <w:t xml:space="preserve"> on the Mil’Haq Fest web site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ites.google.com/view/the-milhaq-fest-fr/ressour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