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Test Specification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Test Software Specification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Macros and type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_Toc379130253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_Toc379130254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79130251"/>
      <w:r>
        <w:lastRenderedPageBreak/>
        <w:t>Introduction</w:t>
      </w:r>
      <w:bookmarkEnd w:id="1"/>
    </w:p>
    <w:p/>
    <w:p>
      <w:pPr>
        <w:numPr>
          <w:ilvl w:val="12"/>
          <w:numId w:val="0"/>
        </w:numPr>
      </w:pPr>
      <w:r>
        <w:t>The main goals of these rules are to:</w:t>
      </w:r>
    </w:p>
    <w:p>
      <w:pPr>
        <w:pStyle w:val="ListBullet2"/>
      </w:pPr>
      <w:r>
        <w:rPr>
          <w:lang w:val="en-US"/>
        </w:rPr>
        <w:t>S</w:t>
      </w:r>
      <w:r>
        <w:t>tandardise the way of naming so the “language” is the same for all the developers</w:t>
      </w:r>
    </w:p>
    <w:p>
      <w:pPr>
        <w:pStyle w:val="ListBullet2"/>
      </w:pPr>
      <w:r>
        <w:t>Minimise the adaptation period for new readers : the software is quickly understandable</w:t>
      </w:r>
    </w:p>
    <w:p>
      <w:pPr>
        <w:pStyle w:val="ListBullet2"/>
      </w:pPr>
      <w:r>
        <w:t>Clarify the writing / reading of the source file</w:t>
      </w:r>
    </w:p>
    <w:p>
      <w:pPr>
        <w:pStyle w:val="ListBullet2"/>
      </w:pPr>
      <w:r>
        <w:t xml:space="preserve">Clarify the architecture of the software </w:t>
      </w:r>
    </w:p>
    <w:p>
      <w:pPr>
        <w:pStyle w:val="ListBullet2"/>
        <w:numPr>
          <w:ilvl w:val="0"/>
          <w:numId w:val="0"/>
        </w:numPr>
      </w:pPr>
    </w:p>
    <w:p>
      <w:pPr>
        <w:pStyle w:val="Heading1"/>
      </w:pPr>
      <w:bookmarkStart w:id="2" w:name="_Toc379130252"/>
      <w:r>
        <w:t>Macros and type definitions</w:t>
      </w:r>
      <w:bookmarkEnd w:id="2"/>
    </w:p>
    <w:p>
      <w:r>
        <w:t>The macros and type definitions will be written in capital letters. If possible try to minimize exported macros and constants for visibility.</w:t>
      </w:r>
    </w:p>
    <w:p/>
    <w:p>
      <w:r>
        <w:t>Macros must use a prefix “CNF_” at the beginning if the macros will be used for configuration propouses.</w:t>
      </w:r>
    </w:p>
    <w:p/>
    <w:p>
      <w:r>
        <w:t>To define the type of a variable</w:t>
      </w:r>
      <w:proofErr w:type="gramStart"/>
      <w:r>
        <w:t>,  we</w:t>
      </w:r>
      <w:proofErr w:type="gramEnd"/>
      <w:r>
        <w:t xml:space="preserve"> used « typedef » to bypass the C compiler default size definition. </w:t>
      </w:r>
    </w:p>
    <w:p/>
    <w:p>
      <w:r>
        <w:t>The following tables list the type used:</w:t>
      </w:r>
    </w:p>
    <w:p/>
    <w:tbl>
      <w:tblPr>
        <w:tblW w:w="96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55"/>
        <w:gridCol w:w="3070"/>
        <w:gridCol w:w="678"/>
        <w:gridCol w:w="4534"/>
      </w:tblGrid>
      <w:tr>
        <w:tc>
          <w:tcPr>
            <w:tcW w:w="135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7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67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53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u8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unsigned char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0..255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u16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unsigned short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0..65535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u32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unsigned long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0.. 4294967295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s8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signed char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-127</w:t>
            </w:r>
            <w:proofErr w:type="gramStart"/>
            <w:r>
              <w:t>..</w:t>
            </w:r>
            <w:proofErr w:type="gramEnd"/>
            <w:r>
              <w:t xml:space="preserve"> 127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s16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short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-32767</w:t>
            </w:r>
            <w:proofErr w:type="gramStart"/>
            <w:r>
              <w:t>..</w:t>
            </w:r>
            <w:proofErr w:type="gramEnd"/>
            <w:r>
              <w:t xml:space="preserve"> 32767</w:t>
            </w:r>
          </w:p>
        </w:tc>
      </w:tr>
      <w:tr>
        <w:tc>
          <w:tcPr>
            <w:tcW w:w="1355" w:type="dxa"/>
          </w:tcPr>
          <w:p>
            <w:pPr>
              <w:jc w:val="center"/>
            </w:pPr>
            <w:r>
              <w:t>s32</w:t>
            </w:r>
          </w:p>
        </w:tc>
        <w:tc>
          <w:tcPr>
            <w:tcW w:w="3070" w:type="dxa"/>
          </w:tcPr>
          <w:p>
            <w:pPr>
              <w:jc w:val="center"/>
            </w:pPr>
            <w:r>
              <w:t>long int</w:t>
            </w:r>
          </w:p>
        </w:tc>
        <w:tc>
          <w:tcPr>
            <w:tcW w:w="67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4534" w:type="dxa"/>
          </w:tcPr>
          <w:p>
            <w:pPr>
              <w:jc w:val="center"/>
            </w:pPr>
            <w:r>
              <w:t>-2147483647</w:t>
            </w:r>
            <w:proofErr w:type="gramStart"/>
            <w:r>
              <w:t>..</w:t>
            </w:r>
            <w:proofErr w:type="gramEnd"/>
            <w:r>
              <w:t xml:space="preserve"> 2147483647</w:t>
            </w:r>
          </w:p>
        </w:tc>
      </w:tr>
    </w:tbl>
    <w:p/>
    <w:p>
      <w:pPr>
        <w:pStyle w:val="Heading1"/>
      </w:pPr>
      <w:bookmarkStart w:id="3" w:name="_Toc487544482"/>
      <w:bookmarkStart w:id="4" w:name="_Toc379130253"/>
      <w:r>
        <w:t>Naming rules for variables</w:t>
      </w:r>
      <w:bookmarkEnd w:id="3"/>
      <w:bookmarkEnd w:id="4"/>
    </w:p>
    <w:p/>
    <w:p>
      <w:r>
        <w:t>Variables must start with a prefix of their layer according with Autosar following with their Module name and then a short description of their function.</w:t>
      </w:r>
    </w:p>
    <w:p/>
    <w:p>
      <w:r>
        <w:t>All variables will be written with an initial lower case letter</w:t>
      </w:r>
    </w:p>
    <w:p/>
    <w:p/>
    <w:p>
      <w:pPr>
        <w:pBdr>
          <w:top w:val="single" w:sz="4" w:space="11" w:color="auto"/>
          <w:left w:val="single" w:sz="4" w:space="4" w:color="auto"/>
          <w:bottom w:val="single" w:sz="4" w:space="15" w:color="auto"/>
          <w:right w:val="single" w:sz="4" w:space="0" w:color="auto"/>
        </w:pBdr>
        <w:ind w:left="1560" w:right="1700"/>
        <w:jc w:val="center"/>
      </w:pPr>
      <w:r>
        <w:rPr>
          <w:b/>
        </w:rPr>
        <w:t>&lt;AutosarLayer_AutosarModule_VariableName&gt;</w:t>
      </w:r>
    </w:p>
    <w:p>
      <w:pPr>
        <w:rPr>
          <w:szCs w:val="22"/>
        </w:rPr>
      </w:pPr>
      <w:r>
        <w:rPr>
          <w:szCs w:val="22"/>
        </w:rPr>
        <w:t>For example:</w:t>
      </w:r>
    </w:p>
    <w:p>
      <w:pPr>
        <w:rPr>
          <w:szCs w:val="22"/>
        </w:rPr>
      </w:pPr>
      <w:r>
        <w:rPr>
          <w:szCs w:val="22"/>
        </w:rPr>
        <w:t xml:space="preserve">A new variable will be created for the Microcontroller Abstraction Layer in the module of Microcontroller Drivers. </w:t>
      </w:r>
    </w:p>
    <w:p>
      <w:pPr>
        <w:rPr>
          <w:szCs w:val="22"/>
        </w:rPr>
      </w:pPr>
    </w:p>
    <w:p>
      <w:pPr>
        <w:jc w:val="center"/>
        <w:rPr>
          <w:szCs w:val="22"/>
        </w:rPr>
      </w:pPr>
      <w:r>
        <w:rPr>
          <w:szCs w:val="22"/>
        </w:rPr>
        <w:t>mcal_mcu_&lt;variable_description&gt;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Heading1"/>
        <w:numPr>
          <w:ilvl w:val="0"/>
          <w:numId w:val="0"/>
        </w:numPr>
      </w:pPr>
      <w:bookmarkStart w:id="5" w:name="_Toc379130254"/>
    </w:p>
    <w:p>
      <w:pPr>
        <w:pStyle w:val="Heading1"/>
      </w:pPr>
      <w:r>
        <w:t>Naming rules for functions</w:t>
      </w:r>
      <w:bookmarkEnd w:id="5"/>
      <w:r>
        <w:t xml:space="preserve"> </w:t>
      </w:r>
    </w:p>
    <w:p>
      <w:pPr>
        <w:rPr>
          <w:b/>
          <w:sz w:val="32"/>
          <w:szCs w:val="32"/>
        </w:rPr>
      </w:pPr>
    </w:p>
    <w:p>
      <w:r>
        <w:t>Function’s names will be created using the Autosar’s Module following with an underscore and a short description of the function. The first letter of every word must be upper case and the rest of the word lower case.</w:t>
      </w:r>
    </w:p>
    <w:p/>
    <w:p>
      <w:pPr>
        <w:pBdr>
          <w:top w:val="single" w:sz="4" w:space="11" w:color="auto"/>
          <w:left w:val="single" w:sz="4" w:space="4" w:color="auto"/>
          <w:bottom w:val="single" w:sz="4" w:space="15" w:color="auto"/>
          <w:right w:val="single" w:sz="4" w:space="0" w:color="auto"/>
        </w:pBdr>
        <w:ind w:left="1560" w:right="1700"/>
        <w:jc w:val="center"/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&lt;AutosarModule&gt;_&lt;Description&gt;(params)</w:t>
      </w:r>
    </w:p>
    <w:p>
      <w:pPr>
        <w:rPr>
          <w:szCs w:val="22"/>
        </w:rPr>
      </w:pPr>
      <w:r>
        <w:rPr>
          <w:szCs w:val="22"/>
        </w:rPr>
        <w:t>For example:</w:t>
      </w:r>
    </w:p>
    <w:p>
      <w:pPr>
        <w:rPr>
          <w:szCs w:val="22"/>
        </w:rPr>
      </w:pPr>
      <w:r>
        <w:rPr>
          <w:szCs w:val="22"/>
        </w:rPr>
        <w:t>A new function is created for the Microcontroller Driver module of Autosar, the the function could be defined as the following:</w:t>
      </w:r>
    </w:p>
    <w:p>
      <w:pPr>
        <w:rPr>
          <w:szCs w:val="22"/>
        </w:rPr>
      </w:pPr>
    </w:p>
    <w:p>
      <w:pPr>
        <w:jc w:val="center"/>
        <w:rPr>
          <w:szCs w:val="22"/>
        </w:rPr>
      </w:pP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</w:t>
      </w:r>
      <w:r>
        <w:rPr>
          <w:b/>
          <w:szCs w:val="22"/>
        </w:rPr>
        <w:t>M</w:t>
      </w:r>
      <w:r>
        <w:rPr>
          <w:szCs w:val="22"/>
        </w:rPr>
        <w:t>cu_</w:t>
      </w:r>
      <w:r>
        <w:rPr>
          <w:b/>
          <w:szCs w:val="22"/>
        </w:rPr>
        <w:t>V</w:t>
      </w:r>
      <w:r>
        <w:rPr>
          <w:szCs w:val="22"/>
        </w:rPr>
        <w:t>ariable</w:t>
      </w:r>
      <w:r>
        <w:rPr>
          <w:b/>
          <w:szCs w:val="22"/>
        </w:rPr>
        <w:t>N</w:t>
      </w:r>
      <w:r>
        <w:rPr>
          <w:szCs w:val="22"/>
        </w:rPr>
        <w:t>ame(params)</w:t>
      </w:r>
    </w:p>
    <w:sectPr>
      <w:headerReference w:type="default" r:id="rId7"/>
      <w:footerReference w:type="default" r:id="rId8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02.02.14 18:02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</w:r>
    <w:r>
      <w:rPr>
        <w:lang w:val="es-MX"/>
      </w:rPr>
      <w:tab/>
    </w:r>
    <w:r>
      <w:t xml:space="preserve"> 04/Feb/2014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proofState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ATBEAS procedure template</vt:lpstr>
    </vt:vector>
  </TitlesOfParts>
  <Company>Siemens Automotive S.A.</Company>
  <LinksUpToDate>false</LinksUpToDate>
  <CharactersWithSpaces>2222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uidu8495</cp:lastModifiedBy>
  <cp:revision>3</cp:revision>
  <cp:lastPrinted>2013-09-11T17:51:00Z</cp:lastPrinted>
  <dcterms:created xsi:type="dcterms:W3CDTF">2014-02-03T00:38:00Z</dcterms:created>
  <dcterms:modified xsi:type="dcterms:W3CDTF">2014-02-03T00:49:00Z</dcterms:modified>
</cp:coreProperties>
</file>