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page-borders-columns.</w:t>
      </w:r>
    </w:p>
    <w:p>
      <w:r>
        <w:t xml:space="preserve">A paragraph flowing through a two-column section layout, framed by a single-line page border.</w:t>
      </w:r>
    </w:p>
    <w:sectPr>
      <w:pgSz w:w="11906" w:h="16838" w:orient="portrait"/>
      <w:pgMar w:top="1440" w:right="1440" w:bottom="1440" w:left="1440" w:header="708" w:footer="708" w:gutter="0"/>
      <w:pgBorders>
        <w:top w:val="single" w:color="4472C4" w:sz="24" w:space="24"/>
        <w:left w:val="single" w:color="4472C4" w:sz="24" w:space="24"/>
        <w:bottom w:val="single" w:color="4472C4" w:sz="24" w:space="24"/>
        <w:right w:val="single" w:color="4472C4" w:sz="24" w:space="24"/>
      </w:pgBorders>
      <w:pgNumType/>
      <w:cols w:space="708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