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drawing>
          <wp:inline xmlns:a="http://schemas.openxmlformats.org/drawingml/2006/main" xmlns:pic="http://schemas.openxmlformats.org/drawingml/2006/picture">
            <wp:extent cx="936000" cy="1050847"/>
            <wp:docPr id="1" name="Picture 1"/>
            <wp:cNvGraphicFramePr>
              <a:graphicFrameLocks noChangeAspect="1"/>
            </wp:cNvGraphicFramePr>
            <a:graphic>
              <a:graphicData uri="http://schemas.openxmlformats.org/drawingml/2006/picture">
                <pic:pic>
                  <pic:nvPicPr>
                    <pic:cNvPr id="0" name="armoiries.png"/>
                    <pic:cNvPicPr/>
                  </pic:nvPicPr>
                  <pic:blipFill>
                    <a:blip r:embed="rId10"/>
                    <a:stretch>
                      <a:fillRect/>
                    </a:stretch>
                  </pic:blipFill>
                  <pic:spPr>
                    <a:xfrm>
                      <a:off x="0" y="0"/>
                      <a:ext cx="936000" cy="1050847"/>
                    </a:xfrm>
                    <a:prstGeom prst="rect"/>
                  </pic:spPr>
                </pic:pic>
              </a:graphicData>
            </a:graphic>
          </wp:inline>
        </w:drawing>
      </w:r>
    </w:p>
    <w:p>
      <w:pPr>
        <w:spacing w:before="120" w:after="0"/>
        <w:jc w:val="center"/>
      </w:pPr>
      <w:r>
        <w:rPr>
          <w:rFonts w:ascii="Century Gothic" w:hAnsi="Century Gothic" w:eastAsia="Century Gothic"/>
          <w:b/>
          <w:i w:val="0"/>
          <w:caps w:val="0"/>
          <w:color w:val="2A6396"/>
          <w:sz w:val="20"/>
        </w:rPr>
        <w:t>RÉPUBLIQUE DE GUINÉE</w:t>
      </w:r>
    </w:p>
    <w:p>
      <w:pPr>
        <w:spacing w:before="0" w:after="120"/>
        <w:jc w:val="center"/>
      </w:pPr>
      <w:r>
        <w:rPr>
          <w:rFonts w:ascii="Century Gothic" w:hAnsi="Century Gothic" w:eastAsia="Century Gothic"/>
          <w:b w:val="0"/>
          <w:i/>
          <w:caps w:val="0"/>
          <w:color w:val="C47D22"/>
          <w:sz w:val="18"/>
        </w:rPr>
        <w:t>Travail · Justice · Solidarité</w:t>
      </w:r>
    </w:p>
    <w:p>
      <w:pPr>
        <w:spacing w:before="0" w:after="800"/>
        <w:jc w:val="center"/>
      </w:pPr>
      <w:r>
        <w:rPr>
          <w:rFonts w:ascii="Century Gothic" w:hAnsi="Century Gothic" w:eastAsia="Century Gothic"/>
          <w:b/>
          <w:i w:val="0"/>
          <w:caps w:val="0"/>
          <w:color w:val="121826"/>
          <w:sz w:val="20"/>
        </w:rPr>
        <w:t>SECRÉTARIAT GÉNÉRAL DU GOUVERNEMENT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2F6EA6"/>
          </w:tcPr>
          <w:p>
            <w:pPr>
              <w:spacing w:before="60" w:after="60"/>
              <w:jc w:val="center"/>
            </w:pPr>
            <w:r>
              <w:rPr>
                <w:rFonts w:ascii="Century Gothic" w:hAnsi="Century Gothic" w:eastAsia="Century Gothic"/>
                <w:b/>
                <w:i w:val="0"/>
                <w:caps w:val="0"/>
                <w:color w:val="E8A858"/>
                <w:sz w:val="18"/>
              </w:rPr>
              <w:t>NOTE DE PROPOSITION AU GOUVERNEMENT ET À LA PRÉSIDENCE DE LA RÉPUBLIQUE</w:t>
            </w:r>
          </w:p>
          <w:p>
            <w:pPr>
              <w:spacing w:after="60" w:before="60"/>
              <w:jc w:val="center"/>
            </w:pPr>
            <w:r>
              <w:rPr>
                <w:rFonts w:ascii="Century Gothic" w:hAnsi="Century Gothic" w:eastAsia="Century Gothic"/>
                <w:b/>
                <w:i w:val="0"/>
                <w:caps w:val="0"/>
                <w:color w:val="FFFFFF"/>
                <w:sz w:val="56"/>
              </w:rPr>
              <w:t>GOVERNMENT QUIZ GUINÉE</w:t>
            </w:r>
          </w:p>
          <w:p>
            <w:pPr>
              <w:spacing w:after="60" w:before="60"/>
              <w:jc w:val="center"/>
            </w:pPr>
            <w:r>
              <w:rPr>
                <w:rFonts w:ascii="Century Gothic" w:hAnsi="Century Gothic" w:eastAsia="Century Gothic"/>
                <w:b w:val="0"/>
                <w:i w:val="0"/>
                <w:caps w:val="0"/>
                <w:color w:val="E3EDF3"/>
                <w:sz w:val="24"/>
              </w:rPr>
              <w:t>Plateforme nationale de quiz éducatifs et d'opportunités pour la jeunesse</w:t>
            </w:r>
          </w:p>
          <w:p>
            <w:pPr>
              <w:spacing w:after="160" w:before="60"/>
              <w:jc w:val="center"/>
            </w:pPr>
            <w:r>
              <w:rPr>
                <w:rFonts w:ascii="Century Gothic" w:hAnsi="Century Gothic" w:eastAsia="Century Gothic"/>
                <w:b/>
                <w:i w:val="0"/>
                <w:caps w:val="0"/>
                <w:color w:val="E8A858"/>
                <w:sz w:val="20"/>
              </w:rPr>
              <w:t>Apprendre · Se mesurer · Être récompensé</w:t>
            </w:r>
          </w:p>
        </w:tc>
      </w:tr>
    </w:tbl>
    <w:p>
      <w:pPr>
        <w:spacing w:before="280" w:after="600"/>
        <w:jc w:val="center"/>
      </w:pPr>
      <w:r>
        <w:rPr>
          <w:rFonts w:ascii="Century Gothic" w:hAnsi="Century Gothic" w:eastAsia="Century Gothic"/>
          <w:b w:val="0"/>
          <w:i/>
          <w:caps w:val="0"/>
          <w:color w:val="2A6396"/>
          <w:sz w:val="20"/>
        </w:rPr>
        <w:t>« L'Indépendance en héritage · La jeunesse en marche · Simandou 2040 en ligne de mire »</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819"/>
        <w:gridCol w:w="4819"/>
      </w:tblGrid>
      <w:tr>
        <w:tc>
          <w:tcPr>
            <w:tcW w:type="dxa" w:w="4819"/>
            <w:shd w:val="clear" w:color="auto" w:fill="EDF3F8"/>
          </w:tcPr>
          <w:p>
            <w:pPr>
              <w:jc w:val="center"/>
            </w:pPr>
            <w:r>
              <w:rPr>
                <w:rFonts w:ascii="Century Gothic" w:hAnsi="Century Gothic" w:eastAsia="Century Gothic"/>
                <w:b/>
                <w:i w:val="0"/>
                <w:caps w:val="0"/>
                <w:color w:val="7F838F"/>
                <w:sz w:val="16"/>
              </w:rPr>
              <w:t>BUDGET DEMANDÉ</w:t>
            </w:r>
          </w:p>
          <w:p>
            <w:pPr>
              <w:spacing w:after="160"/>
              <w:jc w:val="center"/>
            </w:pPr>
            <w:r>
              <w:rPr>
                <w:rFonts w:ascii="Century Gothic" w:hAnsi="Century Gothic" w:eastAsia="Century Gothic"/>
                <w:b/>
                <w:i w:val="0"/>
                <w:caps w:val="0"/>
                <w:color w:val="2A6396"/>
                <w:sz w:val="32"/>
              </w:rPr>
              <w:t>370 000 000 GNF</w:t>
            </w:r>
          </w:p>
        </w:tc>
        <w:tc>
          <w:tcPr>
            <w:tcW w:type="dxa" w:w="4819"/>
            <w:shd w:val="clear" w:color="auto" w:fill="EDF3F8"/>
          </w:tcPr>
          <w:p>
            <w:pPr>
              <w:jc w:val="center"/>
            </w:pPr>
            <w:r>
              <w:rPr>
                <w:rFonts w:ascii="Century Gothic" w:hAnsi="Century Gothic" w:eastAsia="Century Gothic"/>
                <w:b/>
                <w:i w:val="0"/>
                <w:caps w:val="0"/>
                <w:color w:val="7F838F"/>
                <w:sz w:val="16"/>
              </w:rPr>
              <w:t>CAPACITÉ</w:t>
            </w:r>
          </w:p>
          <w:p>
            <w:pPr>
              <w:spacing w:after="160"/>
              <w:jc w:val="center"/>
            </w:pPr>
            <w:r>
              <w:rPr>
                <w:rFonts w:ascii="Century Gothic" w:hAnsi="Century Gothic" w:eastAsia="Century Gothic"/>
                <w:b/>
                <w:i w:val="0"/>
                <w:caps w:val="0"/>
                <w:color w:val="2A6396"/>
                <w:sz w:val="32"/>
              </w:rPr>
              <w:t>1 000 000 d'utilisateurs / mois</w:t>
            </w:r>
          </w:p>
        </w:tc>
      </w:tr>
    </w:tbl>
    <w:p>
      <w:pPr>
        <w:spacing w:before="0" w:after="600"/>
      </w:pPr>
    </w:p>
    <w:p>
      <w:pPr>
        <w:spacing w:before="0" w:after="40"/>
        <w:jc w:val="center"/>
      </w:pPr>
      <w:r>
        <w:rPr>
          <w:rFonts w:ascii="Century Gothic" w:hAnsi="Century Gothic" w:eastAsia="Century Gothic"/>
          <w:b w:val="0"/>
          <w:i w:val="0"/>
          <w:caps w:val="0"/>
          <w:color w:val="121826"/>
          <w:sz w:val="19"/>
        </w:rPr>
        <w:t>Pilote : Government Quiz, Semaine de l'Indépendance An 68 (25 septembre – 2 octobre 2026)</w:t>
      </w:r>
    </w:p>
    <w:p>
      <w:pPr>
        <w:spacing w:before="0" w:after="40"/>
        <w:jc w:val="center"/>
      </w:pPr>
      <w:r>
        <w:rPr>
          <w:rFonts w:ascii="Century Gothic" w:hAnsi="Century Gothic" w:eastAsia="Century Gothic"/>
          <w:b/>
          <w:i w:val="0"/>
          <w:caps w:val="0"/>
          <w:color w:val="121826"/>
          <w:sz w:val="19"/>
        </w:rPr>
        <w:t>Conakry, septembre 2026</w:t>
      </w:r>
    </w:p>
    <w:p>
      <w:r>
        <w:br w:type="page"/>
      </w:r>
    </w:p>
    <w:p>
      <w:pPr>
        <w:keepNext w:val="0"/>
        <w:spacing w:before="280" w:after="120"/>
        <w:pBdr>
          <w:bottom w:val="single" w:sz="8" w:color="E8A858" w:space="2"/>
        </w:pBdr>
      </w:pPr>
      <w:r>
        <w:rPr>
          <w:rFonts w:ascii="Century Gothic" w:hAnsi="Century Gothic" w:eastAsia="Century Gothic"/>
          <w:b/>
          <w:i w:val="0"/>
          <w:caps w:val="0"/>
          <w:color w:val="2A6396"/>
          <w:sz w:val="25"/>
        </w:rPr>
        <w:t>FICHE SYNTHÉTIQUE</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2608"/>
        <w:gridCol w:w="7030"/>
      </w:tblGrid>
      <w:tr>
        <w:tc>
          <w:tcPr>
            <w:tcW w:type="dxa" w:w="2608"/>
            <w:shd w:val="clear" w:color="auto" w:fill="EDF3F8"/>
          </w:tcPr>
          <w:p>
            <w:pPr>
              <w:spacing w:before="60" w:after="60"/>
            </w:pPr>
            <w:r>
              <w:rPr>
                <w:rFonts w:ascii="Century Gothic" w:hAnsi="Century Gothic" w:eastAsia="Century Gothic"/>
                <w:b/>
                <w:i w:val="0"/>
                <w:caps w:val="0"/>
                <w:color w:val="2A6396"/>
                <w:sz w:val="18"/>
              </w:rPr>
              <w:t>Intitulé du projet</w:t>
            </w:r>
          </w:p>
        </w:tc>
        <w:tc>
          <w:tcPr>
            <w:tcW w:type="dxa" w:w="7030"/>
          </w:tcPr>
          <w:p>
            <w:pPr>
              <w:spacing w:before="60" w:after="60"/>
            </w:pPr>
            <w:r>
              <w:rPr>
                <w:rFonts w:ascii="Century Gothic" w:hAnsi="Century Gothic" w:eastAsia="Century Gothic"/>
                <w:b w:val="0"/>
                <w:i w:val="0"/>
                <w:caps w:val="0"/>
                <w:color w:val="121826"/>
                <w:sz w:val="19"/>
              </w:rPr>
              <w:t>Government Quiz Guinée — Plateforme nationale de quiz éducatifs et d'opportunités pour la jeunesse</w:t>
            </w:r>
          </w:p>
        </w:tc>
      </w:tr>
      <w:tr>
        <w:tc>
          <w:tcPr>
            <w:tcW w:type="dxa" w:w="2608"/>
            <w:shd w:val="clear" w:color="auto" w:fill="EDF3F8"/>
          </w:tcPr>
          <w:p>
            <w:pPr>
              <w:spacing w:before="60" w:after="60"/>
            </w:pPr>
            <w:r>
              <w:rPr>
                <w:rFonts w:ascii="Century Gothic" w:hAnsi="Century Gothic" w:eastAsia="Century Gothic"/>
                <w:b/>
                <w:i w:val="0"/>
                <w:caps w:val="0"/>
                <w:color w:val="2A6396"/>
                <w:sz w:val="18"/>
              </w:rPr>
              <w:t>Initiateur et maître d'ouvrage</w:t>
            </w:r>
          </w:p>
        </w:tc>
        <w:tc>
          <w:tcPr>
            <w:tcW w:type="dxa" w:w="7030"/>
          </w:tcPr>
          <w:p>
            <w:pPr>
              <w:spacing w:before="60" w:after="60"/>
            </w:pPr>
            <w:r>
              <w:rPr>
                <w:rFonts w:ascii="Century Gothic" w:hAnsi="Century Gothic" w:eastAsia="Century Gothic"/>
                <w:b w:val="0"/>
                <w:i w:val="0"/>
                <w:caps w:val="0"/>
                <w:color w:val="121826"/>
                <w:sz w:val="19"/>
              </w:rPr>
              <w:t>Secrétariat Général du Gouvernement (SGG)</w:t>
            </w:r>
          </w:p>
        </w:tc>
      </w:tr>
      <w:tr>
        <w:tc>
          <w:tcPr>
            <w:tcW w:type="dxa" w:w="2608"/>
            <w:shd w:val="clear" w:color="auto" w:fill="EDF3F8"/>
          </w:tcPr>
          <w:p>
            <w:pPr>
              <w:spacing w:before="60" w:after="60"/>
            </w:pPr>
            <w:r>
              <w:rPr>
                <w:rFonts w:ascii="Century Gothic" w:hAnsi="Century Gothic" w:eastAsia="Century Gothic"/>
                <w:b/>
                <w:i w:val="0"/>
                <w:caps w:val="0"/>
                <w:color w:val="2A6396"/>
                <w:sz w:val="18"/>
              </w:rPr>
              <w:t>Pilote</w:t>
            </w:r>
          </w:p>
        </w:tc>
        <w:tc>
          <w:tcPr>
            <w:tcW w:type="dxa" w:w="7030"/>
          </w:tcPr>
          <w:p>
            <w:pPr>
              <w:spacing w:before="60" w:after="60"/>
            </w:pPr>
            <w:r>
              <w:rPr>
                <w:rFonts w:ascii="Century Gothic" w:hAnsi="Century Gothic" w:eastAsia="Century Gothic"/>
                <w:b w:val="0"/>
                <w:i w:val="0"/>
                <w:caps w:val="0"/>
                <w:color w:val="121826"/>
                <w:sz w:val="19"/>
              </w:rPr>
              <w:t>Government Quiz — Semaine de l'Indépendance, An 68 (25 septembre – 2 octobre 2026) : Quiz Simandou et Quiz Histoire de la Guinée, 80 questions, certificats, classement national</w:t>
            </w:r>
          </w:p>
        </w:tc>
      </w:tr>
      <w:tr>
        <w:tc>
          <w:tcPr>
            <w:tcW w:type="dxa" w:w="2608"/>
            <w:shd w:val="clear" w:color="auto" w:fill="EDF3F8"/>
          </w:tcPr>
          <w:p>
            <w:pPr>
              <w:spacing w:before="60" w:after="60"/>
            </w:pPr>
            <w:r>
              <w:rPr>
                <w:rFonts w:ascii="Century Gothic" w:hAnsi="Century Gothic" w:eastAsia="Century Gothic"/>
                <w:b/>
                <w:i w:val="0"/>
                <w:caps w:val="0"/>
                <w:color w:val="2A6396"/>
                <w:sz w:val="18"/>
              </w:rPr>
              <w:t>Bénéficiaires</w:t>
            </w:r>
          </w:p>
        </w:tc>
        <w:tc>
          <w:tcPr>
            <w:tcW w:type="dxa" w:w="7030"/>
          </w:tcPr>
          <w:p>
            <w:pPr>
              <w:spacing w:before="60" w:after="60"/>
            </w:pPr>
            <w:r>
              <w:rPr>
                <w:rFonts w:ascii="Century Gothic" w:hAnsi="Century Gothic" w:eastAsia="Century Gothic"/>
                <w:b w:val="0"/>
                <w:i w:val="0"/>
                <w:caps w:val="0"/>
                <w:color w:val="121826"/>
                <w:sz w:val="19"/>
              </w:rPr>
              <w:t>La jeunesse guinéenne (élèves, étudiants, jeunes actifs et demandeurs d'emploi, diaspora) ; l'ensemble des ministères, agences et sociétés d'État</w:t>
            </w:r>
          </w:p>
        </w:tc>
      </w:tr>
      <w:tr>
        <w:tc>
          <w:tcPr>
            <w:tcW w:type="dxa" w:w="2608"/>
            <w:shd w:val="clear" w:color="auto" w:fill="EDF3F8"/>
          </w:tcPr>
          <w:p>
            <w:pPr>
              <w:spacing w:before="60" w:after="60"/>
            </w:pPr>
            <w:r>
              <w:rPr>
                <w:rFonts w:ascii="Century Gothic" w:hAnsi="Century Gothic" w:eastAsia="Century Gothic"/>
                <w:b/>
                <w:i w:val="0"/>
                <w:caps w:val="0"/>
                <w:color w:val="2A6396"/>
                <w:sz w:val="18"/>
              </w:rPr>
              <w:t>Principe</w:t>
            </w:r>
          </w:p>
        </w:tc>
        <w:tc>
          <w:tcPr>
            <w:tcW w:type="dxa" w:w="7030"/>
          </w:tcPr>
          <w:p>
            <w:pPr>
              <w:spacing w:before="60" w:after="60"/>
            </w:pPr>
            <w:r>
              <w:rPr>
                <w:rFonts w:ascii="Century Gothic" w:hAnsi="Century Gothic" w:eastAsia="Century Gothic"/>
                <w:b w:val="0"/>
                <w:i w:val="0"/>
                <w:caps w:val="0"/>
                <w:color w:val="121826"/>
                <w:sz w:val="19"/>
              </w:rPr>
              <w:t>Chaque institution publie ses propres quiz en téléversant simplement un fichier de questions ; la plateforme construit le quiz, gère les participants, les classements et les certificats ; les meilleurs sont récompensés par des bourses, des formations, des stages et des emplois</w:t>
            </w:r>
          </w:p>
        </w:tc>
      </w:tr>
      <w:tr>
        <w:tc>
          <w:tcPr>
            <w:tcW w:type="dxa" w:w="2608"/>
            <w:shd w:val="clear" w:color="auto" w:fill="EDF3F8"/>
          </w:tcPr>
          <w:p>
            <w:pPr>
              <w:spacing w:before="60" w:after="60"/>
            </w:pPr>
            <w:r>
              <w:rPr>
                <w:rFonts w:ascii="Century Gothic" w:hAnsi="Century Gothic" w:eastAsia="Century Gothic"/>
                <w:b/>
                <w:i w:val="0"/>
                <w:caps w:val="0"/>
                <w:color w:val="2A6396"/>
                <w:sz w:val="18"/>
              </w:rPr>
              <w:t>Budget demandé</w:t>
            </w:r>
          </w:p>
        </w:tc>
        <w:tc>
          <w:tcPr>
            <w:tcW w:type="dxa" w:w="7030"/>
          </w:tcPr>
          <w:p>
            <w:pPr>
              <w:spacing w:before="60" w:after="60"/>
            </w:pPr>
            <w:r>
              <w:rPr>
                <w:rFonts w:ascii="Century Gothic" w:hAnsi="Century Gothic" w:eastAsia="Century Gothic"/>
                <w:b w:val="0"/>
                <w:i w:val="0"/>
                <w:caps w:val="0"/>
                <w:color w:val="121826"/>
                <w:sz w:val="19"/>
              </w:rPr>
              <w:t>370 000 000 GNF (environ 42 100 USD) pour la construction et 12 mois d'exploitation</w:t>
            </w:r>
          </w:p>
        </w:tc>
      </w:tr>
      <w:tr>
        <w:tc>
          <w:tcPr>
            <w:tcW w:type="dxa" w:w="2608"/>
            <w:shd w:val="clear" w:color="auto" w:fill="EDF3F8"/>
          </w:tcPr>
          <w:p>
            <w:pPr>
              <w:spacing w:before="60" w:after="60"/>
            </w:pPr>
            <w:r>
              <w:rPr>
                <w:rFonts w:ascii="Century Gothic" w:hAnsi="Century Gothic" w:eastAsia="Century Gothic"/>
                <w:b/>
                <w:i w:val="0"/>
                <w:caps w:val="0"/>
                <w:color w:val="2A6396"/>
                <w:sz w:val="18"/>
              </w:rPr>
              <w:t>Capacité</w:t>
            </w:r>
          </w:p>
        </w:tc>
        <w:tc>
          <w:tcPr>
            <w:tcW w:type="dxa" w:w="7030"/>
          </w:tcPr>
          <w:p>
            <w:pPr>
              <w:spacing w:before="60" w:after="60"/>
            </w:pPr>
            <w:r>
              <w:rPr>
                <w:rFonts w:ascii="Century Gothic" w:hAnsi="Century Gothic" w:eastAsia="Century Gothic"/>
                <w:b w:val="0"/>
                <w:i w:val="0"/>
                <w:caps w:val="0"/>
                <w:color w:val="121826"/>
                <w:sz w:val="19"/>
              </w:rPr>
              <w:t>Jusqu'à 1 000 000 d'utilisateurs par mois ; disponibilité visée 99,9 %</w:t>
            </w:r>
          </w:p>
        </w:tc>
      </w:tr>
      <w:tr>
        <w:tc>
          <w:tcPr>
            <w:tcW w:type="dxa" w:w="2608"/>
            <w:shd w:val="clear" w:color="auto" w:fill="EDF3F8"/>
          </w:tcPr>
          <w:p>
            <w:pPr>
              <w:spacing w:before="60" w:after="60"/>
            </w:pPr>
            <w:r>
              <w:rPr>
                <w:rFonts w:ascii="Century Gothic" w:hAnsi="Century Gothic" w:eastAsia="Century Gothic"/>
                <w:b/>
                <w:i w:val="0"/>
                <w:caps w:val="0"/>
                <w:color w:val="2A6396"/>
                <w:sz w:val="18"/>
              </w:rPr>
              <w:t>Calendrier</w:t>
            </w:r>
          </w:p>
        </w:tc>
        <w:tc>
          <w:tcPr>
            <w:tcW w:type="dxa" w:w="7030"/>
          </w:tcPr>
          <w:p>
            <w:pPr>
              <w:spacing w:before="60" w:after="60"/>
            </w:pPr>
            <w:r>
              <w:rPr>
                <w:rFonts w:ascii="Century Gothic" w:hAnsi="Century Gothic" w:eastAsia="Century Gothic"/>
                <w:b w:val="0"/>
                <w:i w:val="0"/>
                <w:caps w:val="0"/>
                <w:color w:val="121826"/>
                <w:sz w:val="19"/>
              </w:rPr>
              <w:t>Décision : octobre 2026 · Construction : novembre 2026 – janvier 2027 · Lancement national : février 2027 · Cérémonie nationale du Mérite : octobre 2027 (An 69)</w:t>
            </w:r>
          </w:p>
        </w:tc>
      </w:tr>
      <w:tr>
        <w:tc>
          <w:tcPr>
            <w:tcW w:type="dxa" w:w="2608"/>
            <w:shd w:val="clear" w:color="auto" w:fill="EDF3F8"/>
          </w:tcPr>
          <w:p>
            <w:pPr>
              <w:spacing w:before="60" w:after="60"/>
            </w:pPr>
            <w:r>
              <w:rPr>
                <w:rFonts w:ascii="Century Gothic" w:hAnsi="Century Gothic" w:eastAsia="Century Gothic"/>
                <w:b/>
                <w:i w:val="0"/>
                <w:caps w:val="0"/>
                <w:color w:val="2A6396"/>
                <w:sz w:val="18"/>
              </w:rPr>
              <w:t>Décision demandée</w:t>
            </w:r>
          </w:p>
        </w:tc>
        <w:tc>
          <w:tcPr>
            <w:tcW w:type="dxa" w:w="7030"/>
          </w:tcPr>
          <w:p>
            <w:pPr>
              <w:spacing w:before="60" w:after="60"/>
            </w:pPr>
            <w:r>
              <w:rPr>
                <w:rFonts w:ascii="Century Gothic" w:hAnsi="Century Gothic" w:eastAsia="Century Gothic"/>
                <w:b w:val="0"/>
                <w:i w:val="0"/>
                <w:caps w:val="0"/>
                <w:color w:val="121826"/>
                <w:sz w:val="19"/>
              </w:rPr>
              <w:t>Approbation du projet et du budget ; désignation du SGG comme maître d'ouvrage ; désignation d'un point focal par institution ; création du Fonds du Mérite</w:t>
            </w:r>
          </w:p>
        </w:tc>
      </w:tr>
    </w:tbl>
    <w:p>
      <w:pPr>
        <w:spacing w:after="40"/>
      </w:pPr>
    </w:p>
    <w:p>
      <w:pPr>
        <w:keepNext/>
        <w:spacing w:before="280" w:after="120"/>
        <w:pBdr>
          <w:bottom w:val="single" w:sz="8" w:color="E8A858" w:space="2"/>
        </w:pBdr>
      </w:pPr>
      <w:r>
        <w:rPr>
          <w:rFonts w:ascii="Century Gothic" w:hAnsi="Century Gothic" w:eastAsia="Century Gothic"/>
          <w:b/>
          <w:i w:val="0"/>
          <w:caps w:val="0"/>
          <w:color w:val="2A6396"/>
          <w:sz w:val="25"/>
        </w:rPr>
        <w:t>1. RÉSUMÉ EXÉCUTIF</w:t>
      </w:r>
    </w:p>
    <w:p>
      <w:pPr>
        <w:spacing w:before="0" w:after="120" w:line="276" w:lineRule="auto"/>
        <w:jc w:val="both"/>
      </w:pPr>
      <w:r>
        <w:rPr>
          <w:rFonts w:ascii="Century Gothic" w:hAnsi="Century Gothic" w:eastAsia="Century Gothic"/>
          <w:b w:val="0"/>
          <w:i w:val="0"/>
          <w:caps w:val="0"/>
          <w:color w:val="121826"/>
          <w:sz w:val="20"/>
        </w:rPr>
        <w:t>Pour la Semaine de l'Indépendance An 68, le Secrétariat Général du Gouvernement a mis en ligne « Government Quiz », une application de quiz en français, accessible depuis n'importe quel téléphone, qui propose deux questionnaires de 40 questions : le Quiz Simandou et le Quiz Histoire de la Guinée. Les participants progressent par sections, obtiennent un certificat de réussite (Bronze, Argent, Or) et figurent à un classement national partagé. Conçue et mise en ligne en une semaine, sans infrastructure coûteuse, cette application a été testée et approuvée par Monsieur le Ministre Secrétaire Général du Gouvernement.</w:t>
      </w:r>
    </w:p>
    <w:p>
      <w:pPr>
        <w:spacing w:before="0" w:after="120" w:line="276" w:lineRule="auto"/>
        <w:jc w:val="both"/>
      </w:pPr>
      <w:r>
        <w:rPr>
          <w:rFonts w:ascii="Century Gothic" w:hAnsi="Century Gothic" w:eastAsia="Century Gothic"/>
          <w:b w:val="0"/>
          <w:i w:val="0"/>
          <w:caps w:val="0"/>
          <w:color w:val="121826"/>
          <w:sz w:val="20"/>
        </w:rPr>
        <w:t>La présente note propose d'en faire un outil national : une plateforme où chaque ministère, chaque agence et chaque société d'État peut publier ses propres quiz en téléversant simplement un fichier de questions avec les bonnes réponses. La plateforme construit le quiz, accueille les participants, tient les classements, délivre les certificats et fournit un tableau de bord. Surtout, elle relie l'effort d'apprendre à des opportunités réelles : les meilleurs participants de chaque campagne reçoivent des bourses d'études complètes, des formations professionnelles et techniques, des stages et des emplois, offerts par les institutions et leurs partenaires.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2409"/>
        <w:gridCol w:w="2409"/>
        <w:gridCol w:w="2409"/>
        <w:gridCol w:w="2409"/>
      </w:tblGrid>
      <w:tr>
        <w:tc>
          <w:tcPr>
            <w:tcW w:type="dxa" w:w="2409"/>
            <w:shd w:val="clear" w:color="auto" w:fill="EDF3F8"/>
          </w:tcPr>
          <w:p>
            <w:pPr>
              <w:spacing w:before="120"/>
              <w:jc w:val="center"/>
            </w:pPr>
            <w:r>
              <w:rPr>
                <w:rFonts w:ascii="Century Gothic" w:hAnsi="Century Gothic" w:eastAsia="Century Gothic"/>
                <w:b/>
                <w:i w:val="0"/>
                <w:caps w:val="0"/>
                <w:color w:val="2A6396"/>
                <w:sz w:val="30"/>
              </w:rPr>
              <w:t>1 000 000</w:t>
            </w:r>
          </w:p>
          <w:p>
            <w:pPr>
              <w:spacing w:after="120"/>
              <w:jc w:val="center"/>
            </w:pPr>
            <w:r>
              <w:rPr>
                <w:rFonts w:ascii="Century Gothic" w:hAnsi="Century Gothic" w:eastAsia="Century Gothic"/>
                <w:b w:val="0"/>
                <w:i w:val="0"/>
                <w:caps w:val="0"/>
                <w:color w:val="7F838F"/>
                <w:sz w:val="16"/>
              </w:rPr>
              <w:t>utilisateurs par mois (capacité)</w:t>
            </w:r>
          </w:p>
        </w:tc>
        <w:tc>
          <w:tcPr>
            <w:tcW w:type="dxa" w:w="2409"/>
            <w:shd w:val="clear" w:color="auto" w:fill="EDF3F8"/>
          </w:tcPr>
          <w:p>
            <w:pPr>
              <w:spacing w:before="120"/>
              <w:jc w:val="center"/>
            </w:pPr>
            <w:r>
              <w:rPr>
                <w:rFonts w:ascii="Century Gothic" w:hAnsi="Century Gothic" w:eastAsia="Century Gothic"/>
                <w:b/>
                <w:i w:val="0"/>
                <w:caps w:val="0"/>
                <w:color w:val="2A6396"/>
                <w:sz w:val="30"/>
              </w:rPr>
              <w:t>15+</w:t>
            </w:r>
          </w:p>
          <w:p>
            <w:pPr>
              <w:spacing w:after="120"/>
              <w:jc w:val="center"/>
            </w:pPr>
            <w:r>
              <w:rPr>
                <w:rFonts w:ascii="Century Gothic" w:hAnsi="Century Gothic" w:eastAsia="Century Gothic"/>
                <w:b w:val="0"/>
                <w:i w:val="0"/>
                <w:caps w:val="0"/>
                <w:color w:val="7F838F"/>
                <w:sz w:val="16"/>
              </w:rPr>
              <w:t>institutions publiant leurs quiz en année 1</w:t>
            </w:r>
          </w:p>
        </w:tc>
        <w:tc>
          <w:tcPr>
            <w:tcW w:type="dxa" w:w="2409"/>
            <w:shd w:val="clear" w:color="auto" w:fill="EDF3F8"/>
          </w:tcPr>
          <w:p>
            <w:pPr>
              <w:spacing w:before="120"/>
              <w:jc w:val="center"/>
            </w:pPr>
            <w:r>
              <w:rPr>
                <w:rFonts w:ascii="Century Gothic" w:hAnsi="Century Gothic" w:eastAsia="Century Gothic"/>
                <w:b/>
                <w:i w:val="0"/>
                <w:caps w:val="0"/>
                <w:color w:val="2A6396"/>
                <w:sz w:val="30"/>
              </w:rPr>
              <w:t>1 000+</w:t>
            </w:r>
          </w:p>
          <w:p>
            <w:pPr>
              <w:spacing w:after="120"/>
              <w:jc w:val="center"/>
            </w:pPr>
            <w:r>
              <w:rPr>
                <w:rFonts w:ascii="Century Gothic" w:hAnsi="Century Gothic" w:eastAsia="Century Gothic"/>
                <w:b w:val="0"/>
                <w:i w:val="0"/>
                <w:caps w:val="0"/>
                <w:color w:val="7F838F"/>
                <w:sz w:val="16"/>
              </w:rPr>
              <w:t>jeunes récompensés en année 1</w:t>
            </w:r>
          </w:p>
        </w:tc>
        <w:tc>
          <w:tcPr>
            <w:tcW w:type="dxa" w:w="2409"/>
            <w:shd w:val="clear" w:color="auto" w:fill="EDF3F8"/>
          </w:tcPr>
          <w:p>
            <w:pPr>
              <w:spacing w:before="120"/>
              <w:jc w:val="center"/>
            </w:pPr>
            <w:r>
              <w:rPr>
                <w:rFonts w:ascii="Century Gothic" w:hAnsi="Century Gothic" w:eastAsia="Century Gothic"/>
                <w:b/>
                <w:i w:val="0"/>
                <w:caps w:val="0"/>
                <w:color w:val="2A6396"/>
                <w:sz w:val="30"/>
              </w:rPr>
              <w:t>370 millions</w:t>
            </w:r>
          </w:p>
          <w:p>
            <w:pPr>
              <w:spacing w:after="120"/>
              <w:jc w:val="center"/>
            </w:pPr>
            <w:r>
              <w:rPr>
                <w:rFonts w:ascii="Century Gothic" w:hAnsi="Century Gothic" w:eastAsia="Century Gothic"/>
                <w:b w:val="0"/>
                <w:i w:val="0"/>
                <w:caps w:val="0"/>
                <w:color w:val="7F838F"/>
                <w:sz w:val="16"/>
              </w:rPr>
              <w:t>de GNF : construction et 12 mois d'exploitation</w:t>
            </w:r>
          </w:p>
        </w:tc>
      </w:tr>
    </w:tbl>
    <w:p>
      <w:pPr>
        <w:spacing w:after="40"/>
      </w:pPr>
    </w:p>
    <w:p>
      <w:pPr>
        <w:spacing w:before="0" w:after="120" w:line="276" w:lineRule="auto"/>
        <w:jc w:val="both"/>
      </w:pPr>
      <w:r>
        <w:rPr>
          <w:rFonts w:ascii="Century Gothic" w:hAnsi="Century Gothic" w:eastAsia="Century Gothic"/>
          <w:b w:val="0"/>
          <w:i w:val="0"/>
          <w:caps w:val="0"/>
          <w:color w:val="121826"/>
          <w:sz w:val="20"/>
        </w:rPr>
        <w:t>Le coût demandé, 370 000 000 GNF pour la construction et douze mois d'exploitation, représente 31 GNF par participant et par mois à pleine capacité, soit moins que le prix d'un SMS. Les récompenses elles-mêmes sont des contributions en nature des institutions et des partenaires (bourses, places de formation, stages, emplois), réunies dans un Fonds du Mérite.</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2F6EA6"/>
          </w:tcPr>
          <w:p>
            <w:pPr>
              <w:spacing w:before="160" w:after="160"/>
              <w:jc w:val="center"/>
            </w:pPr>
            <w:r>
              <w:rPr>
                <w:rFonts w:ascii="Century Gothic" w:hAnsi="Century Gothic" w:eastAsia="Century Gothic"/>
                <w:b/>
                <w:i/>
                <w:caps w:val="0"/>
                <w:color w:val="FFFFFF"/>
                <w:sz w:val="21"/>
              </w:rPr>
              <w:t>Ce que la plateforme change : pour la première fois en Guinée, un jeune de Kérouané, de Labé ou de Nzérékoré peut, depuis son téléphone, apprendre ce que l'État veut lui transmettre, se mesurer à toute la jeunesse du pays et ouvrir, par son mérite, la porte d'une bourse, d'une formation ou d'un emploi.</w:t>
            </w:r>
          </w:p>
        </w:tc>
      </w:tr>
    </w:tbl>
    <w:p>
      <w:pPr>
        <w:spacing w:after="40"/>
      </w:pPr>
    </w:p>
    <w:p>
      <w:pPr>
        <w:spacing w:before="0" w:after="120" w:line="276" w:lineRule="auto"/>
        <w:jc w:val="both"/>
      </w:pPr>
      <w:r>
        <w:rPr>
          <w:rFonts w:ascii="Century Gothic" w:hAnsi="Century Gothic" w:eastAsia="Century Gothic"/>
          <w:b w:val="0"/>
          <w:i w:val="0"/>
          <w:caps w:val="0"/>
          <w:color w:val="121826"/>
          <w:sz w:val="20"/>
        </w:rPr>
        <w:t>Le Gouvernement est invité à approuver le projet et son budget, à confier au SGG la maîtrise d'ouvrage, à instruire chaque institution de désigner un point focal et de publier au moins un quiz au cours de la première année, et à créer le Fonds du Mérite dont la remise annuelle des récompenses serait présidée par le Chef de l'État.</w:t>
      </w:r>
    </w:p>
    <w:p>
      <w:pPr>
        <w:keepNext/>
        <w:spacing w:before="280" w:after="120"/>
        <w:pBdr>
          <w:bottom w:val="single" w:sz="8" w:color="E8A858" w:space="2"/>
        </w:pBdr>
      </w:pPr>
      <w:r>
        <w:rPr>
          <w:rFonts w:ascii="Century Gothic" w:hAnsi="Century Gothic" w:eastAsia="Century Gothic"/>
          <w:b/>
          <w:i w:val="0"/>
          <w:caps w:val="0"/>
          <w:color w:val="2A6396"/>
          <w:sz w:val="25"/>
        </w:rPr>
        <w:t>2. CONTEXTE : UNE JEUNESSE NOMBREUSE, CONNECTÉE, EN ATTENTE D'OPPORTUNITÉS</w:t>
      </w:r>
    </w:p>
    <w:p>
      <w:pPr>
        <w:spacing w:before="0" w:after="120" w:line="276" w:lineRule="auto"/>
        <w:jc w:val="both"/>
      </w:pPr>
      <w:r>
        <w:rPr>
          <w:rFonts w:ascii="Century Gothic" w:hAnsi="Century Gothic" w:eastAsia="Century Gothic"/>
          <w:b w:val="0"/>
          <w:i w:val="0"/>
          <w:caps w:val="0"/>
          <w:color w:val="121826"/>
          <w:sz w:val="20"/>
        </w:rPr>
        <w:t>La Guinée compte 15,2 millions d'habitants et un âge médian de 18,3 ans : la moitié de la population n'a pas 19 ans. Le pays totalise 12,8 millions de connexions mobiles (84,6 % de la population), 4,02 millions d'internautes (26,5 %) et 3,7 millions d'utilisateurs de réseaux sociaux, avec une progression continue portée par la jeunesse urbaine puis rurale (DataReportal, Digital 2026 : Guinea).</w:t>
      </w:r>
    </w:p>
    <w:p>
      <w:pPr>
        <w:spacing w:before="0" w:after="120" w:line="276" w:lineRule="auto"/>
        <w:jc w:val="both"/>
      </w:pPr>
      <w:r>
        <w:rPr>
          <w:rFonts w:ascii="Century Gothic" w:hAnsi="Century Gothic" w:eastAsia="Century Gothic"/>
          <w:b w:val="0"/>
          <w:i w:val="0"/>
          <w:caps w:val="0"/>
          <w:color w:val="121826"/>
          <w:sz w:val="20"/>
        </w:rPr>
        <w:t>Dans le même temps, les 48 établissements d'enseignement supérieur forment plus de 15 000 diplômés par an, dont moins d'un tiers occupe un emploi douze mois après la sortie ; le chômage des jeunes diplômés dépasse 40 % et environ 34 % des jeunes ne sont ni en emploi, ni en études, ni en formation (Observatoire national du travail, 2025). Le Programme Simandou 2040 fait du capital humain son deuxième pilier et a lancé la Simandou Academy et des unités mobiles de formation pour qualifier la jeunesse.</w:t>
      </w:r>
    </w:p>
    <w:p>
      <w:pPr>
        <w:spacing w:before="0" w:after="120" w:line="276" w:lineRule="auto"/>
        <w:jc w:val="both"/>
      </w:pPr>
      <w:r>
        <w:rPr>
          <w:rFonts w:ascii="Century Gothic" w:hAnsi="Century Gothic" w:eastAsia="Century Gothic"/>
          <w:b w:val="0"/>
          <w:i w:val="0"/>
          <w:caps w:val="0"/>
          <w:color w:val="121826"/>
          <w:sz w:val="20"/>
        </w:rPr>
        <w:t>Il manque un maillon simple entre ces deux réalités : un canal direct, mesurable et motivant, par lequel l'État transmet des connaissances utiles à sa jeunesse et repère, partout sur le territoire, celles et ceux qui méritent d'être accompagnés. Le quiz est le format d'apprentissage le plus engageant qui existe sur téléphone : rapide, ludique, immédiatement corrigé, et naturellement compétitif.</w:t>
      </w:r>
    </w:p>
    <w:p>
      <w:pPr>
        <w:keepNext/>
        <w:spacing w:before="280" w:after="120"/>
        <w:pBdr>
          <w:bottom w:val="single" w:sz="8" w:color="E8A858" w:space="2"/>
        </w:pBdr>
      </w:pPr>
      <w:r>
        <w:rPr>
          <w:rFonts w:ascii="Century Gothic" w:hAnsi="Century Gothic" w:eastAsia="Century Gothic"/>
          <w:b/>
          <w:i w:val="0"/>
          <w:caps w:val="0"/>
          <w:color w:val="2A6396"/>
          <w:sz w:val="25"/>
        </w:rPr>
        <w:t>3. LE PILOTE AN 68 : CE QUI EXISTE DÉJÀ</w:t>
      </w:r>
    </w:p>
    <w:p>
      <w:pPr>
        <w:spacing w:before="0" w:after="120" w:line="276" w:lineRule="auto"/>
        <w:jc w:val="both"/>
      </w:pPr>
      <w:r>
        <w:rPr>
          <w:rFonts w:ascii="Century Gothic" w:hAnsi="Century Gothic" w:eastAsia="Century Gothic"/>
          <w:b w:val="0"/>
          <w:i w:val="0"/>
          <w:caps w:val="0"/>
          <w:color w:val="121826"/>
          <w:sz w:val="20"/>
        </w:rPr>
        <w:t>Le pilote démontre que l'approche fonctionne en conditions réelles, à coût quasi nul, et fournit la base technique de la plateforme nationale.</w:t>
      </w:r>
    </w:p>
    <w:tbl>
      <w:tblPr>
        <w:tblW w:type="auto" w:w="0"/>
        <w:tblLayout w:type="fixed"/>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1814"/>
        <w:gridCol w:w="7824"/>
      </w:tblGrid>
      <w:tr>
        <w:tc>
          <w:tcPr>
            <w:tcW w:type="dxa" w:w="1814"/>
            <w:shd w:val="clear" w:color="auto" w:fill="2F6EA6"/>
          </w:tcPr>
          <w:p>
            <w:pPr>
              <w:spacing w:before="60" w:after="60"/>
            </w:pPr>
            <w:r>
              <w:rPr>
                <w:rFonts w:ascii="Century Gothic" w:hAnsi="Century Gothic" w:eastAsia="Century Gothic"/>
                <w:b/>
                <w:i w:val="0"/>
                <w:caps w:val="0"/>
                <w:color w:val="FFFFFF"/>
                <w:sz w:val="17"/>
              </w:rPr>
              <w:t>Élément</w:t>
            </w:r>
          </w:p>
        </w:tc>
        <w:tc>
          <w:tcPr>
            <w:tcW w:type="dxa" w:w="7824"/>
            <w:shd w:val="clear" w:color="auto" w:fill="2F6EA6"/>
          </w:tcPr>
          <w:p>
            <w:pPr>
              <w:spacing w:before="60" w:after="60"/>
            </w:pPr>
            <w:r>
              <w:rPr>
                <w:rFonts w:ascii="Century Gothic" w:hAnsi="Century Gothic" w:eastAsia="Century Gothic"/>
                <w:b/>
                <w:i w:val="0"/>
                <w:caps w:val="0"/>
                <w:color w:val="FFFFFF"/>
                <w:sz w:val="17"/>
              </w:rPr>
              <w:t>Ce que le pilote apporte</w:t>
            </w:r>
          </w:p>
        </w:tc>
      </w:tr>
      <w:tr>
        <w:tc>
          <w:tcPr>
            <w:tcW w:type="dxa" w:w="1814"/>
          </w:tcPr>
          <w:p>
            <w:pPr>
              <w:spacing w:before="50" w:after="50"/>
            </w:pPr>
            <w:r>
              <w:rPr>
                <w:rFonts w:ascii="Century Gothic" w:hAnsi="Century Gothic" w:eastAsia="Century Gothic"/>
                <w:b/>
                <w:i w:val="0"/>
                <w:caps w:val="0"/>
                <w:color w:val="2A6396"/>
                <w:sz w:val="18"/>
              </w:rPr>
              <w:t>Contenu</w:t>
            </w:r>
          </w:p>
        </w:tc>
        <w:tc>
          <w:tcPr>
            <w:tcW w:type="dxa" w:w="7824"/>
          </w:tcPr>
          <w:p>
            <w:pPr>
              <w:spacing w:before="50" w:after="50"/>
            </w:pPr>
            <w:r>
              <w:rPr>
                <w:rFonts w:ascii="Century Gothic" w:hAnsi="Century Gothic" w:eastAsia="Century Gothic"/>
                <w:b w:val="0"/>
                <w:i w:val="0"/>
                <w:caps w:val="0"/>
                <w:color w:val="121826"/>
                <w:sz w:val="18"/>
              </w:rPr>
              <w:t>Deux modules de 40 questions : Quiz Simandou (gisement, partenaires, chemin de fer, port, Programme Simandou 2040) et Quiz Histoire de la Guinée (le « Non » de 1958, les grandes figures, la Première République, l'armée et la Deuxième République). Chaque question est accompagnée d'une explication vérifiée.</w:t>
            </w:r>
          </w:p>
        </w:tc>
      </w:tr>
      <w:tr>
        <w:tc>
          <w:tcPr>
            <w:tcW w:type="dxa" w:w="1814"/>
            <w:shd w:val="clear" w:color="auto" w:fill="F3F7FA"/>
          </w:tcPr>
          <w:p>
            <w:pPr>
              <w:spacing w:before="50" w:after="50"/>
            </w:pPr>
            <w:r>
              <w:rPr>
                <w:rFonts w:ascii="Century Gothic" w:hAnsi="Century Gothic" w:eastAsia="Century Gothic"/>
                <w:b/>
                <w:i w:val="0"/>
                <w:caps w:val="0"/>
                <w:color w:val="2A6396"/>
                <w:sz w:val="18"/>
              </w:rPr>
              <w:t>Expérience</w:t>
            </w:r>
          </w:p>
        </w:tc>
        <w:tc>
          <w:tcPr>
            <w:tcW w:type="dxa" w:w="7824"/>
            <w:shd w:val="clear" w:color="auto" w:fill="F3F7FA"/>
          </w:tcPr>
          <w:p>
            <w:pPr>
              <w:spacing w:before="50" w:after="50"/>
            </w:pPr>
            <w:r>
              <w:rPr>
                <w:rFonts w:ascii="Century Gothic" w:hAnsi="Century Gothic" w:eastAsia="Century Gothic"/>
                <w:b w:val="0"/>
                <w:i w:val="0"/>
                <w:caps w:val="0"/>
                <w:color w:val="121826"/>
                <w:sz w:val="18"/>
              </w:rPr>
              <w:t>Accueil commun (nom du participant, choix du quiz), parcours par sections débloquées à 80 %, quiz complet, classement national partagé, certificat Or / Argent / Bronze imprimable au format A4, documents imprimables pour l'animateur (questionnaire et corrigé).</w:t>
            </w:r>
          </w:p>
        </w:tc>
      </w:tr>
      <w:tr>
        <w:tc>
          <w:tcPr>
            <w:tcW w:type="dxa" w:w="1814"/>
          </w:tcPr>
          <w:p>
            <w:pPr>
              <w:spacing w:before="50" w:after="50"/>
            </w:pPr>
            <w:r>
              <w:rPr>
                <w:rFonts w:ascii="Century Gothic" w:hAnsi="Century Gothic" w:eastAsia="Century Gothic"/>
                <w:b/>
                <w:i w:val="0"/>
                <w:caps w:val="0"/>
                <w:color w:val="2A6396"/>
                <w:sz w:val="18"/>
              </w:rPr>
              <w:t>Technologie</w:t>
            </w:r>
          </w:p>
        </w:tc>
        <w:tc>
          <w:tcPr>
            <w:tcW w:type="dxa" w:w="7824"/>
          </w:tcPr>
          <w:p>
            <w:pPr>
              <w:spacing w:before="50" w:after="50"/>
            </w:pPr>
            <w:r>
              <w:rPr>
                <w:rFonts w:ascii="Century Gothic" w:hAnsi="Century Gothic" w:eastAsia="Century Gothic"/>
                <w:b w:val="0"/>
                <w:i w:val="0"/>
                <w:caps w:val="0"/>
                <w:color w:val="121826"/>
                <w:sz w:val="18"/>
              </w:rPr>
              <w:t>Application web légère : fonctionne sur tout smartphone, très faible consommation de données, aucune installation, version « fichier unique » partageable par WhatsApp ou e-mail. Aucune donnée sensible collectée.</w:t>
            </w:r>
          </w:p>
        </w:tc>
      </w:tr>
      <w:tr>
        <w:tc>
          <w:tcPr>
            <w:tcW w:type="dxa" w:w="1814"/>
            <w:shd w:val="clear" w:color="auto" w:fill="F3F7FA"/>
          </w:tcPr>
          <w:p>
            <w:pPr>
              <w:spacing w:before="50" w:after="50"/>
            </w:pPr>
            <w:r>
              <w:rPr>
                <w:rFonts w:ascii="Century Gothic" w:hAnsi="Century Gothic" w:eastAsia="Century Gothic"/>
                <w:b/>
                <w:i w:val="0"/>
                <w:caps w:val="0"/>
                <w:color w:val="2A6396"/>
                <w:sz w:val="18"/>
              </w:rPr>
              <w:t>Coût et délai</w:t>
            </w:r>
          </w:p>
        </w:tc>
        <w:tc>
          <w:tcPr>
            <w:tcW w:type="dxa" w:w="7824"/>
            <w:shd w:val="clear" w:color="auto" w:fill="F3F7FA"/>
          </w:tcPr>
          <w:p>
            <w:pPr>
              <w:spacing w:before="50" w:after="50"/>
            </w:pPr>
            <w:r>
              <w:rPr>
                <w:rFonts w:ascii="Century Gothic" w:hAnsi="Century Gothic" w:eastAsia="Century Gothic"/>
                <w:b w:val="0"/>
                <w:i w:val="0"/>
                <w:caps w:val="0"/>
                <w:color w:val="121826"/>
                <w:sz w:val="18"/>
              </w:rPr>
              <w:t>Conception, contenu et mise en ligne en une semaine ; coût d'exploitation actuel proche de zéro (hébergement statique et classement sur Google Sheets).</w:t>
            </w:r>
          </w:p>
        </w:tc>
      </w:tr>
      <w:tr>
        <w:tc>
          <w:tcPr>
            <w:tcW w:type="dxa" w:w="1814"/>
          </w:tcPr>
          <w:p>
            <w:pPr>
              <w:spacing w:before="50" w:after="50"/>
            </w:pPr>
            <w:r>
              <w:rPr>
                <w:rFonts w:ascii="Century Gothic" w:hAnsi="Century Gothic" w:eastAsia="Century Gothic"/>
                <w:b/>
                <w:i w:val="0"/>
                <w:caps w:val="0"/>
                <w:color w:val="2A6396"/>
                <w:sz w:val="18"/>
              </w:rPr>
              <w:t>Mesure</w:t>
            </w:r>
          </w:p>
        </w:tc>
        <w:tc>
          <w:tcPr>
            <w:tcW w:type="dxa" w:w="7824"/>
          </w:tcPr>
          <w:p>
            <w:pPr>
              <w:spacing w:before="50" w:after="50"/>
            </w:pPr>
            <w:r>
              <w:rPr>
                <w:rFonts w:ascii="Century Gothic" w:hAnsi="Century Gothic" w:eastAsia="Century Gothic"/>
                <w:b w:val="0"/>
                <w:i w:val="0"/>
                <w:caps w:val="0"/>
                <w:color w:val="121826"/>
                <w:sz w:val="18"/>
              </w:rPr>
              <w:t>Pendant la Semaine de l'Indépendance (25 septembre – 2 octobre 2026), le pilote fournira les premiers indicateurs : participants, scores moyens par section, certificats délivrés, répartition géographique. Ils seront annexés à cette note après le 2 octobre 2026.</w:t>
            </w:r>
          </w:p>
        </w:tc>
      </w:tr>
    </w:tbl>
    <w:p>
      <w:pPr>
        <w:spacing w:after="40"/>
      </w:pPr>
    </w:p>
    <w:p>
      <w:pPr>
        <w:keepNext/>
        <w:spacing w:before="280" w:after="120"/>
        <w:pBdr>
          <w:bottom w:val="single" w:sz="8" w:color="E8A858" w:space="2"/>
        </w:pBdr>
      </w:pPr>
      <w:r>
        <w:rPr>
          <w:rFonts w:ascii="Century Gothic" w:hAnsi="Century Gothic" w:eastAsia="Century Gothic"/>
          <w:b/>
          <w:i w:val="0"/>
          <w:caps w:val="0"/>
          <w:color w:val="2A6396"/>
          <w:sz w:val="25"/>
        </w:rPr>
        <w:t>4. LA VISION : UN OUTIL DE LA RÉPUBLIQUE POUR FORMER, RÉVÉLER ET RÉCOMPENSER</w:t>
      </w: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2F6EA6"/>
          </w:tcPr>
          <w:p>
            <w:pPr>
              <w:spacing w:before="160" w:after="160"/>
              <w:jc w:val="center"/>
            </w:pPr>
            <w:r>
              <w:rPr>
                <w:rFonts w:ascii="Century Gothic" w:hAnsi="Century Gothic" w:eastAsia="Century Gothic"/>
                <w:b/>
                <w:i/>
                <w:caps w:val="0"/>
                <w:color w:val="FFFFFF"/>
                <w:sz w:val="21"/>
              </w:rPr>
              <w:t>Government Quiz Guinée — Apprendre · Se mesurer · Être récompensé</w:t>
            </w:r>
          </w:p>
        </w:tc>
      </w:tr>
    </w:tbl>
    <w:p>
      <w:pPr>
        <w:spacing w:after="40"/>
      </w:pPr>
    </w:p>
    <w:p>
      <w:pPr>
        <w:spacing w:before="0" w:after="120" w:line="276" w:lineRule="auto"/>
        <w:jc w:val="both"/>
      </w:pPr>
      <w:r>
        <w:rPr>
          <w:rFonts w:ascii="Century Gothic" w:hAnsi="Century Gothic" w:eastAsia="Century Gothic"/>
          <w:b w:val="0"/>
          <w:i w:val="0"/>
          <w:caps w:val="0"/>
          <w:color w:val="121826"/>
          <w:sz w:val="20"/>
        </w:rPr>
        <w:t>La plateforme poursuit cinq objectifs :</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Diffuser à grande échelle des connaissances utiles à la Nation : institutions et histoire, civisme, santé, sécurité, agriculture, finances publiques et impôt, culture et patrimoine, environnement, numérique, métiers d'avenir.</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Donner à chaque institution publique un canal pédagogique direct vers la jeunesse, sans aucune compétence technique : un fichier de questions suffit.</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Détecter et récompenser le mérite partout sur le territoire, y compris loin de Conakry, avec des règles d'équité entre régions et entre filles et garçons.</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Produire des données de pilotage inédites : niveau de connaissance par thème, région, âge et sexe, lacunes à combler, efficacité des campagnes de sensibilisation.</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Faire rayonner l'image d'un État moderne, transparent et proche de sa jeunesse, qui s'adresse à elle dans sa langue et sur son téléphone.</w:t>
      </w:r>
    </w:p>
    <w:p>
      <w:pPr>
        <w:spacing w:before="0" w:after="40"/>
      </w:pPr>
    </w:p>
    <w:p>
      <w:pPr>
        <w:keepNext/>
        <w:spacing w:before="280" w:after="120"/>
        <w:pBdr>
          <w:bottom w:val="single" w:sz="8" w:color="E8A858" w:space="2"/>
        </w:pBdr>
      </w:pPr>
      <w:r>
        <w:rPr>
          <w:rFonts w:ascii="Century Gothic" w:hAnsi="Century Gothic" w:eastAsia="Century Gothic"/>
          <w:b/>
          <w:i w:val="0"/>
          <w:caps w:val="0"/>
          <w:color w:val="2A6396"/>
          <w:sz w:val="25"/>
        </w:rPr>
        <w:t>5. COMMENT FONCTIONNE LA PLATEFORME</w:t>
      </w:r>
    </w:p>
    <w:p>
      <w:pPr>
        <w:keepNext/>
        <w:spacing w:before="160" w:after="60"/>
      </w:pPr>
      <w:r>
        <w:rPr>
          <w:rFonts w:ascii="Century Gothic" w:hAnsi="Century Gothic" w:eastAsia="Century Gothic"/>
          <w:b/>
          <w:i w:val="0"/>
          <w:caps w:val="0"/>
          <w:color w:val="C47D22"/>
          <w:sz w:val="21"/>
        </w:rPr>
        <w:t>5.1 Pour les institutions : publier un quiz en trois étapes</w:t>
      </w:r>
    </w:p>
    <w:p>
      <w:pPr>
        <w:spacing w:before="0" w:after="120" w:line="276" w:lineRule="auto"/>
        <w:jc w:val="both"/>
      </w:pPr>
      <w:r>
        <w:rPr>
          <w:rFonts w:ascii="Century Gothic" w:hAnsi="Century Gothic" w:eastAsia="Century Gothic"/>
          <w:b w:val="0"/>
          <w:i w:val="0"/>
          <w:caps w:val="0"/>
          <w:color w:val="121826"/>
          <w:sz w:val="20"/>
        </w:rPr>
        <w:t>Aucune compétence technique n'est requise : le point focal de l'institution publie un quiz complet en moins d'une heure.</w:t>
      </w:r>
    </w:p>
    <w:tbl>
      <w:tblPr>
        <w:tblW w:type="auto" w:w="0"/>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3213"/>
            <w:shd w:val="clear" w:color="auto" w:fill="EDF3F8"/>
          </w:tcPr>
          <w:p>
            <w:pPr>
              <w:spacing w:before="100"/>
            </w:pPr>
            <w:r>
              <w:rPr>
                <w:rFonts w:ascii="Century Gothic" w:hAnsi="Century Gothic" w:eastAsia="Century Gothic"/>
                <w:b/>
                <w:i w:val="0"/>
                <w:caps w:val="0"/>
                <w:color w:val="C47D22"/>
                <w:sz w:val="16"/>
              </w:rPr>
              <w:t>ÉTAPE 1</w:t>
            </w:r>
          </w:p>
          <w:p>
            <w:pPr>
              <w:spacing w:after="40"/>
            </w:pPr>
            <w:r>
              <w:rPr>
                <w:rFonts w:ascii="Century Gothic" w:hAnsi="Century Gothic" w:eastAsia="Century Gothic"/>
                <w:b/>
                <w:i w:val="0"/>
                <w:caps w:val="0"/>
                <w:color w:val="2A6396"/>
                <w:sz w:val="20"/>
              </w:rPr>
              <w:t>Télécharger le modèle</w:t>
            </w:r>
          </w:p>
          <w:p>
            <w:pPr>
              <w:spacing w:after="120"/>
            </w:pPr>
            <w:r>
              <w:rPr>
                <w:rFonts w:ascii="Century Gothic" w:hAnsi="Century Gothic" w:eastAsia="Century Gothic"/>
                <w:b w:val="0"/>
                <w:i w:val="0"/>
                <w:caps w:val="0"/>
                <w:color w:val="121826"/>
                <w:sz w:val="17"/>
              </w:rPr>
              <w:t>Un fichier Excel ou Word fourni par la plateforme : une ligne par question avec la question, quatre propositions, la bonne réponse, une explication et la section.</w:t>
            </w:r>
          </w:p>
        </w:tc>
        <w:tc>
          <w:tcPr>
            <w:tcW w:type="dxa" w:w="3213"/>
            <w:shd w:val="clear" w:color="auto" w:fill="EDF3F8"/>
          </w:tcPr>
          <w:p>
            <w:pPr>
              <w:spacing w:before="100"/>
            </w:pPr>
            <w:r>
              <w:rPr>
                <w:rFonts w:ascii="Century Gothic" w:hAnsi="Century Gothic" w:eastAsia="Century Gothic"/>
                <w:b/>
                <w:i w:val="0"/>
                <w:caps w:val="0"/>
                <w:color w:val="C47D22"/>
                <w:sz w:val="16"/>
              </w:rPr>
              <w:t>ÉTAPE 2</w:t>
            </w:r>
          </w:p>
          <w:p>
            <w:pPr>
              <w:spacing w:after="40"/>
            </w:pPr>
            <w:r>
              <w:rPr>
                <w:rFonts w:ascii="Century Gothic" w:hAnsi="Century Gothic" w:eastAsia="Century Gothic"/>
                <w:b/>
                <w:i w:val="0"/>
                <w:caps w:val="0"/>
                <w:color w:val="2A6396"/>
                <w:sz w:val="20"/>
              </w:rPr>
              <w:t>Remplir et téléverser</w:t>
            </w:r>
          </w:p>
          <w:p>
            <w:pPr>
              <w:spacing w:after="120"/>
            </w:pPr>
            <w:r>
              <w:rPr>
                <w:rFonts w:ascii="Century Gothic" w:hAnsi="Century Gothic" w:eastAsia="Century Gothic"/>
                <w:b w:val="0"/>
                <w:i w:val="0"/>
                <w:caps w:val="0"/>
                <w:color w:val="121826"/>
                <w:sz w:val="17"/>
              </w:rPr>
              <w:t>Le point focal de l'institution remplit le modèle, le téléverse sur le portail et visualise immédiatement le quiz tel que les participants le verront.</w:t>
            </w:r>
          </w:p>
        </w:tc>
        <w:tc>
          <w:tcPr>
            <w:tcW w:type="dxa" w:w="3213"/>
            <w:shd w:val="clear" w:color="auto" w:fill="EDF3F8"/>
          </w:tcPr>
          <w:p>
            <w:pPr>
              <w:spacing w:before="100"/>
            </w:pPr>
            <w:r>
              <w:rPr>
                <w:rFonts w:ascii="Century Gothic" w:hAnsi="Century Gothic" w:eastAsia="Century Gothic"/>
                <w:b/>
                <w:i w:val="0"/>
                <w:caps w:val="0"/>
                <w:color w:val="C47D22"/>
                <w:sz w:val="16"/>
              </w:rPr>
              <w:t>ÉTAPE 3</w:t>
            </w:r>
          </w:p>
          <w:p>
            <w:pPr>
              <w:spacing w:after="40"/>
            </w:pPr>
            <w:r>
              <w:rPr>
                <w:rFonts w:ascii="Century Gothic" w:hAnsi="Century Gothic" w:eastAsia="Century Gothic"/>
                <w:b/>
                <w:i w:val="0"/>
                <w:caps w:val="0"/>
                <w:color w:val="2A6396"/>
                <w:sz w:val="20"/>
              </w:rPr>
              <w:t>Valider et publier</w:t>
            </w:r>
          </w:p>
          <w:p>
            <w:pPr>
              <w:spacing w:after="120"/>
            </w:pPr>
            <w:r>
              <w:rPr>
                <w:rFonts w:ascii="Century Gothic" w:hAnsi="Century Gothic" w:eastAsia="Century Gothic"/>
                <w:b w:val="0"/>
                <w:i w:val="0"/>
                <w:caps w:val="0"/>
                <w:color w:val="121826"/>
                <w:sz w:val="17"/>
              </w:rPr>
              <w:t>Après validation par le point focal et le Comité éditorial, le quiz est publié aux couleurs et au logo de l'institution, avec une date de campagne, les récompenses associées et une page de présentation.</w:t>
            </w:r>
          </w:p>
        </w:tc>
      </w:tr>
    </w:tbl>
    <w:p>
      <w:pPr>
        <w:spacing w:after="40"/>
      </w:pPr>
    </w:p>
    <w:p>
      <w:pPr>
        <w:spacing w:before="0" w:after="120" w:line="276" w:lineRule="auto"/>
        <w:jc w:val="both"/>
      </w:pPr>
      <w:r>
        <w:rPr>
          <w:rFonts w:ascii="Century Gothic" w:hAnsi="Century Gothic" w:eastAsia="Century Gothic"/>
          <w:b w:val="0"/>
          <w:i w:val="0"/>
          <w:caps w:val="0"/>
          <w:color w:val="121826"/>
          <w:sz w:val="20"/>
        </w:rPr>
        <w:t>Options disponibles à la publication : nombre de sections, tirage aléatoire des questions, limite de temps, niveau visé (collège, lycée, université, grand public), campagne à récompenses ou quiz permanent, et, à terme, versions en langues nationales.</w:t>
      </w:r>
    </w:p>
    <w:p>
      <w:pPr>
        <w:keepNext/>
        <w:spacing w:before="160" w:after="60"/>
      </w:pPr>
      <w:r>
        <w:rPr>
          <w:rFonts w:ascii="Century Gothic" w:hAnsi="Century Gothic" w:eastAsia="Century Gothic"/>
          <w:b/>
          <w:i w:val="0"/>
          <w:caps w:val="0"/>
          <w:color w:val="C47D22"/>
          <w:sz w:val="21"/>
        </w:rPr>
        <w:t>5.2 Pour les jeunes : apprendre, se mesurer, gagner</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Inscription en trente secondes : nom, numéro de téléphone vérifié par SMS, région, âge, situation (élève, étudiant, actif, en recherche d'emploi).</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Catalogue des quiz par institution et par thème ; parcours par sections avec déblocage progressif ; quiz complet chronométré pour les campagnes.</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Certificat de réussite avec QR code de vérification ; classements national, régional, par établissement et par institution.</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 Passeport du Mérite » : profil qui cumule certificats et points d'une campagne à l'autre, consultable par les recruteurs partenaires avec l'accord du participant.</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Notifications des nouvelles campagnes par WhatsApp et SMS ; mode faible connexion et version hors ligne pour les zones mal couvertes.</w:t>
      </w:r>
    </w:p>
    <w:p>
      <w:pPr>
        <w:spacing w:before="0" w:after="40"/>
      </w:pPr>
    </w:p>
    <w:p>
      <w:pPr>
        <w:keepNext/>
        <w:spacing w:before="160" w:after="60"/>
      </w:pPr>
      <w:r>
        <w:rPr>
          <w:rFonts w:ascii="Century Gothic" w:hAnsi="Century Gothic" w:eastAsia="Century Gothic"/>
          <w:b/>
          <w:i w:val="0"/>
          <w:caps w:val="0"/>
          <w:color w:val="C47D22"/>
          <w:sz w:val="21"/>
        </w:rPr>
        <w:t>5.3 Pour le SGG et la Présidence : piloter</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Tableau de bord en temps réel : participation par institution, région, sexe et âge ; taux de réussite par question, qui révèle les lacunes de connaissance à corriger.</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Modération, gestion des points focaux, export des données, rapport mensuel consolidé au Gouvernement.</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Suivi des récompenses : lauréats, engagements des institutions et des partenaires, remises effectuées.</w:t>
      </w:r>
    </w:p>
    <w:p>
      <w:pPr>
        <w:spacing w:before="0" w:after="40"/>
      </w:pPr>
    </w:p>
    <w:p>
      <w:pPr>
        <w:keepNext/>
        <w:spacing w:before="160" w:after="60"/>
      </w:pPr>
      <w:r>
        <w:rPr>
          <w:rFonts w:ascii="Century Gothic" w:hAnsi="Century Gothic" w:eastAsia="Century Gothic"/>
          <w:b/>
          <w:i w:val="0"/>
          <w:caps w:val="0"/>
          <w:color w:val="C47D22"/>
          <w:sz w:val="21"/>
        </w:rPr>
        <w:t>5.4 Intégrité des résultats</w:t>
      </w:r>
    </w:p>
    <w:p>
      <w:pPr>
        <w:spacing w:before="0" w:after="120" w:line="276" w:lineRule="auto"/>
        <w:jc w:val="both"/>
      </w:pPr>
      <w:r>
        <w:rPr>
          <w:rFonts w:ascii="Century Gothic" w:hAnsi="Century Gothic" w:eastAsia="Century Gothic"/>
          <w:b w:val="0"/>
          <w:i w:val="0"/>
          <w:caps w:val="0"/>
          <w:color w:val="121826"/>
          <w:sz w:val="20"/>
        </w:rPr>
        <w:t>Toute campagne donnant lieu à des récompenses se termine par une finale supervisée : en présence, dans les préfectures et les universités, ou en ligne avec surveillance vidéo. Les scores en ligne servent à sélectionner les finalistes, jamais à attribuer seuls une bourse ou un emploi. S'y ajoutent : une inscription par numéro de téléphone vérifié, tirage aléatoire des questions et des propositions, limite de temps, détection des anomalies (temps de réponse, scores atypiques) et validation des lauréats par un jury.</w:t>
      </w:r>
    </w:p>
    <w:p>
      <w:pPr>
        <w:keepNext/>
        <w:spacing w:before="280" w:after="120"/>
        <w:pBdr>
          <w:bottom w:val="single" w:sz="8" w:color="E8A858" w:space="2"/>
        </w:pBdr>
      </w:pPr>
      <w:r>
        <w:rPr>
          <w:rFonts w:ascii="Century Gothic" w:hAnsi="Century Gothic" w:eastAsia="Century Gothic"/>
          <w:b/>
          <w:i w:val="0"/>
          <w:caps w:val="0"/>
          <w:color w:val="2A6396"/>
          <w:sz w:val="25"/>
        </w:rPr>
        <w:t>6. LE PROGRAMME « MÉRITE » : RÉCOMPENSER LES MEILLEURS</w:t>
      </w:r>
    </w:p>
    <w:p>
      <w:pPr>
        <w:spacing w:before="0" w:after="120" w:line="276" w:lineRule="auto"/>
        <w:jc w:val="both"/>
      </w:pPr>
      <w:r>
        <w:rPr>
          <w:rFonts w:ascii="Century Gothic" w:hAnsi="Century Gothic" w:eastAsia="Century Gothic"/>
          <w:b w:val="0"/>
          <w:i w:val="0"/>
          <w:caps w:val="0"/>
          <w:color w:val="121826"/>
          <w:sz w:val="20"/>
        </w:rPr>
        <w:t>Chaque institution qui publie un quiz définit les récompenses de sa campagne à partir d'un catalogue national. L'État et les partenaires alimentent un Fonds du Mérite, essentiellement en nature. Les récompenses sont publiées à l'avance, ainsi que les critères de sélection et la liste des lauréats.</w:t>
      </w:r>
    </w:p>
    <w:tbl>
      <w:tblPr>
        <w:tblW w:type="auto" w:w="0"/>
        <w:tblLayout w:type="fixed"/>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2381"/>
        <w:gridCol w:w="4309"/>
        <w:gridCol w:w="2948"/>
      </w:tblGrid>
      <w:tr>
        <w:tc>
          <w:tcPr>
            <w:tcW w:type="dxa" w:w="2381"/>
            <w:shd w:val="clear" w:color="auto" w:fill="2F6EA6"/>
          </w:tcPr>
          <w:p>
            <w:pPr>
              <w:spacing w:before="60" w:after="60"/>
            </w:pPr>
            <w:r>
              <w:rPr>
                <w:rFonts w:ascii="Century Gothic" w:hAnsi="Century Gothic" w:eastAsia="Century Gothic"/>
                <w:b/>
                <w:i w:val="0"/>
                <w:caps w:val="0"/>
                <w:color w:val="FFFFFF"/>
                <w:sz w:val="17"/>
              </w:rPr>
              <w:t>Type de récompense</w:t>
            </w:r>
          </w:p>
        </w:tc>
        <w:tc>
          <w:tcPr>
            <w:tcW w:type="dxa" w:w="4309"/>
            <w:shd w:val="clear" w:color="auto" w:fill="2F6EA6"/>
          </w:tcPr>
          <w:p>
            <w:pPr>
              <w:spacing w:before="60" w:after="60"/>
            </w:pPr>
            <w:r>
              <w:rPr>
                <w:rFonts w:ascii="Century Gothic" w:hAnsi="Century Gothic" w:eastAsia="Century Gothic"/>
                <w:b/>
                <w:i w:val="0"/>
                <w:caps w:val="0"/>
                <w:color w:val="FFFFFF"/>
                <w:sz w:val="17"/>
              </w:rPr>
              <w:t>Exemples</w:t>
            </w:r>
          </w:p>
        </w:tc>
        <w:tc>
          <w:tcPr>
            <w:tcW w:type="dxa" w:w="2948"/>
            <w:shd w:val="clear" w:color="auto" w:fill="2F6EA6"/>
          </w:tcPr>
          <w:p>
            <w:pPr>
              <w:spacing w:before="60" w:after="60"/>
            </w:pPr>
            <w:r>
              <w:rPr>
                <w:rFonts w:ascii="Century Gothic" w:hAnsi="Century Gothic" w:eastAsia="Century Gothic"/>
                <w:b/>
                <w:i w:val="0"/>
                <w:caps w:val="0"/>
                <w:color w:val="FFFFFF"/>
                <w:sz w:val="17"/>
              </w:rPr>
              <w:t>Contributeurs potentiels</w:t>
            </w:r>
          </w:p>
        </w:tc>
      </w:tr>
      <w:tr>
        <w:tc>
          <w:tcPr>
            <w:tcW w:type="dxa" w:w="2381"/>
          </w:tcPr>
          <w:p>
            <w:pPr>
              <w:spacing w:before="50" w:after="50"/>
            </w:pPr>
            <w:r>
              <w:rPr>
                <w:rFonts w:ascii="Century Gothic" w:hAnsi="Century Gothic" w:eastAsia="Century Gothic"/>
                <w:b/>
                <w:i w:val="0"/>
                <w:caps w:val="0"/>
                <w:color w:val="2A6396"/>
                <w:sz w:val="18"/>
              </w:rPr>
              <w:t>Bourses d'études complètes</w:t>
            </w:r>
          </w:p>
        </w:tc>
        <w:tc>
          <w:tcPr>
            <w:tcW w:type="dxa" w:w="4309"/>
          </w:tcPr>
          <w:p>
            <w:pPr>
              <w:spacing w:before="50" w:after="50"/>
            </w:pPr>
            <w:r>
              <w:rPr>
                <w:rFonts w:ascii="Century Gothic" w:hAnsi="Century Gothic" w:eastAsia="Century Gothic"/>
                <w:b w:val="0"/>
                <w:i w:val="0"/>
                <w:caps w:val="0"/>
                <w:color w:val="121826"/>
                <w:sz w:val="18"/>
              </w:rPr>
              <w:t>Universités et instituts publics, Simandou Academy, ISMGB de Boké, bourses à l'étranger dans le cadre de la coopération</w:t>
            </w:r>
          </w:p>
        </w:tc>
        <w:tc>
          <w:tcPr>
            <w:tcW w:type="dxa" w:w="2948"/>
          </w:tcPr>
          <w:p>
            <w:pPr>
              <w:spacing w:before="50" w:after="50"/>
            </w:pPr>
            <w:r>
              <w:rPr>
                <w:rFonts w:ascii="Century Gothic" w:hAnsi="Century Gothic" w:eastAsia="Century Gothic"/>
                <w:b w:val="0"/>
                <w:i w:val="0"/>
                <w:caps w:val="0"/>
                <w:color w:val="121826"/>
                <w:sz w:val="18"/>
              </w:rPr>
              <w:t>MESRSI, partenaires bilatéraux et multilatéraux</w:t>
            </w:r>
          </w:p>
        </w:tc>
      </w:tr>
      <w:tr>
        <w:tc>
          <w:tcPr>
            <w:tcW w:type="dxa" w:w="2381"/>
            <w:shd w:val="clear" w:color="auto" w:fill="F3F7FA"/>
          </w:tcPr>
          <w:p>
            <w:pPr>
              <w:spacing w:before="50" w:after="50"/>
            </w:pPr>
            <w:r>
              <w:rPr>
                <w:rFonts w:ascii="Century Gothic" w:hAnsi="Century Gothic" w:eastAsia="Century Gothic"/>
                <w:b/>
                <w:i w:val="0"/>
                <w:caps w:val="0"/>
                <w:color w:val="2A6396"/>
                <w:sz w:val="18"/>
              </w:rPr>
              <w:t>Formations professionnelles et techniques</w:t>
            </w:r>
          </w:p>
        </w:tc>
        <w:tc>
          <w:tcPr>
            <w:tcW w:type="dxa" w:w="4309"/>
            <w:shd w:val="clear" w:color="auto" w:fill="F3F7FA"/>
          </w:tcPr>
          <w:p>
            <w:pPr>
              <w:spacing w:before="50" w:after="50"/>
            </w:pPr>
            <w:r>
              <w:rPr>
                <w:rFonts w:ascii="Century Gothic" w:hAnsi="Century Gothic" w:eastAsia="Century Gothic"/>
                <w:b w:val="0"/>
                <w:i w:val="0"/>
                <w:caps w:val="0"/>
                <w:color w:val="121826"/>
                <w:sz w:val="18"/>
              </w:rPr>
              <w:t>Formations certifiantes, unités mobiles de formation, centres de formation des sociétés minières</w:t>
            </w:r>
          </w:p>
        </w:tc>
        <w:tc>
          <w:tcPr>
            <w:tcW w:type="dxa" w:w="2948"/>
            <w:shd w:val="clear" w:color="auto" w:fill="F3F7FA"/>
          </w:tcPr>
          <w:p>
            <w:pPr>
              <w:spacing w:before="50" w:after="50"/>
            </w:pPr>
            <w:r>
              <w:rPr>
                <w:rFonts w:ascii="Century Gothic" w:hAnsi="Century Gothic" w:eastAsia="Century Gothic"/>
                <w:b w:val="0"/>
                <w:i w:val="0"/>
                <w:caps w:val="0"/>
                <w:color w:val="121826"/>
                <w:sz w:val="18"/>
              </w:rPr>
              <w:t>METFP, Simandou Academy, sociétés minières</w:t>
            </w:r>
          </w:p>
        </w:tc>
      </w:tr>
      <w:tr>
        <w:tc>
          <w:tcPr>
            <w:tcW w:type="dxa" w:w="2381"/>
          </w:tcPr>
          <w:p>
            <w:pPr>
              <w:spacing w:before="50" w:after="50"/>
            </w:pPr>
            <w:r>
              <w:rPr>
                <w:rFonts w:ascii="Century Gothic" w:hAnsi="Century Gothic" w:eastAsia="Century Gothic"/>
                <w:b/>
                <w:i w:val="0"/>
                <w:caps w:val="0"/>
                <w:color w:val="2A6396"/>
                <w:sz w:val="18"/>
              </w:rPr>
              <w:t>Stages de 3 à 6 mois</w:t>
            </w:r>
          </w:p>
        </w:tc>
        <w:tc>
          <w:tcPr>
            <w:tcW w:type="dxa" w:w="4309"/>
          </w:tcPr>
          <w:p>
            <w:pPr>
              <w:spacing w:before="50" w:after="50"/>
            </w:pPr>
            <w:r>
              <w:rPr>
                <w:rFonts w:ascii="Century Gothic" w:hAnsi="Century Gothic" w:eastAsia="Century Gothic"/>
                <w:b w:val="0"/>
                <w:i w:val="0"/>
                <w:caps w:val="0"/>
                <w:color w:val="121826"/>
                <w:sz w:val="18"/>
              </w:rPr>
              <w:t>Ministères, agences, sociétés d'État, entreprises du contenu local Simandou, banques, opérateurs télécoms</w:t>
            </w:r>
          </w:p>
        </w:tc>
        <w:tc>
          <w:tcPr>
            <w:tcW w:type="dxa" w:w="2948"/>
          </w:tcPr>
          <w:p>
            <w:pPr>
              <w:spacing w:before="50" w:after="50"/>
            </w:pPr>
            <w:r>
              <w:rPr>
                <w:rFonts w:ascii="Century Gothic" w:hAnsi="Century Gothic" w:eastAsia="Century Gothic"/>
                <w:b w:val="0"/>
                <w:i w:val="0"/>
                <w:caps w:val="0"/>
                <w:color w:val="121826"/>
                <w:sz w:val="18"/>
              </w:rPr>
              <w:t>Toutes les institutions, secteur privé</w:t>
            </w:r>
          </w:p>
        </w:tc>
      </w:tr>
      <w:tr>
        <w:tc>
          <w:tcPr>
            <w:tcW w:type="dxa" w:w="2381"/>
            <w:shd w:val="clear" w:color="auto" w:fill="F3F7FA"/>
          </w:tcPr>
          <w:p>
            <w:pPr>
              <w:spacing w:before="50" w:after="50"/>
            </w:pPr>
            <w:r>
              <w:rPr>
                <w:rFonts w:ascii="Century Gothic" w:hAnsi="Century Gothic" w:eastAsia="Century Gothic"/>
                <w:b/>
                <w:i w:val="0"/>
                <w:caps w:val="0"/>
                <w:color w:val="2A6396"/>
                <w:sz w:val="18"/>
              </w:rPr>
              <w:t>Emplois et premiers contrats</w:t>
            </w:r>
          </w:p>
        </w:tc>
        <w:tc>
          <w:tcPr>
            <w:tcW w:type="dxa" w:w="4309"/>
            <w:shd w:val="clear" w:color="auto" w:fill="F3F7FA"/>
          </w:tcPr>
          <w:p>
            <w:pPr>
              <w:spacing w:before="50" w:after="50"/>
            </w:pPr>
            <w:r>
              <w:rPr>
                <w:rFonts w:ascii="Century Gothic" w:hAnsi="Century Gothic" w:eastAsia="Century Gothic"/>
                <w:b w:val="0"/>
                <w:i w:val="0"/>
                <w:caps w:val="0"/>
                <w:color w:val="121826"/>
                <w:sz w:val="18"/>
              </w:rPr>
              <w:t>Accès facilité aux concours de la fonction publique, recrutements des entreprises partenaires</w:t>
            </w:r>
          </w:p>
        </w:tc>
        <w:tc>
          <w:tcPr>
            <w:tcW w:type="dxa" w:w="2948"/>
            <w:shd w:val="clear" w:color="auto" w:fill="F3F7FA"/>
          </w:tcPr>
          <w:p>
            <w:pPr>
              <w:spacing w:before="50" w:after="50"/>
            </w:pPr>
            <w:r>
              <w:rPr>
                <w:rFonts w:ascii="Century Gothic" w:hAnsi="Century Gothic" w:eastAsia="Century Gothic"/>
                <w:b w:val="0"/>
                <w:i w:val="0"/>
                <w:caps w:val="0"/>
                <w:color w:val="121826"/>
                <w:sz w:val="18"/>
              </w:rPr>
              <w:t>Fonction publique, entreprises partenaires</w:t>
            </w:r>
          </w:p>
        </w:tc>
      </w:tr>
      <w:tr>
        <w:tc>
          <w:tcPr>
            <w:tcW w:type="dxa" w:w="2381"/>
          </w:tcPr>
          <w:p>
            <w:pPr>
              <w:spacing w:before="50" w:after="50"/>
            </w:pPr>
            <w:r>
              <w:rPr>
                <w:rFonts w:ascii="Century Gothic" w:hAnsi="Century Gothic" w:eastAsia="Century Gothic"/>
                <w:b/>
                <w:i w:val="0"/>
                <w:caps w:val="0"/>
                <w:color w:val="2A6396"/>
                <w:sz w:val="18"/>
              </w:rPr>
              <w:t>Distinctions nationales</w:t>
            </w:r>
          </w:p>
        </w:tc>
        <w:tc>
          <w:tcPr>
            <w:tcW w:type="dxa" w:w="4309"/>
          </w:tcPr>
          <w:p>
            <w:pPr>
              <w:spacing w:before="50" w:after="50"/>
            </w:pPr>
            <w:r>
              <w:rPr>
                <w:rFonts w:ascii="Century Gothic" w:hAnsi="Century Gothic" w:eastAsia="Century Gothic"/>
                <w:b w:val="0"/>
                <w:i w:val="0"/>
                <w:caps w:val="0"/>
                <w:color w:val="121826"/>
                <w:sz w:val="18"/>
              </w:rPr>
              <w:t>Réception à la Présidence, certificat signé, médaille du Mérite, mise en lumière dans les médias publics</w:t>
            </w:r>
          </w:p>
        </w:tc>
        <w:tc>
          <w:tcPr>
            <w:tcW w:type="dxa" w:w="2948"/>
          </w:tcPr>
          <w:p>
            <w:pPr>
              <w:spacing w:before="50" w:after="50"/>
            </w:pPr>
            <w:r>
              <w:rPr>
                <w:rFonts w:ascii="Century Gothic" w:hAnsi="Century Gothic" w:eastAsia="Century Gothic"/>
                <w:b w:val="0"/>
                <w:i w:val="0"/>
                <w:caps w:val="0"/>
                <w:color w:val="121826"/>
                <w:sz w:val="18"/>
              </w:rPr>
              <w:t>Présidence, SGG</w:t>
            </w:r>
          </w:p>
        </w:tc>
      </w:tr>
      <w:tr>
        <w:tc>
          <w:tcPr>
            <w:tcW w:type="dxa" w:w="2381"/>
            <w:shd w:val="clear" w:color="auto" w:fill="F3F7FA"/>
          </w:tcPr>
          <w:p>
            <w:pPr>
              <w:spacing w:before="50" w:after="50"/>
            </w:pPr>
            <w:r>
              <w:rPr>
                <w:rFonts w:ascii="Century Gothic" w:hAnsi="Century Gothic" w:eastAsia="Century Gothic"/>
                <w:b/>
                <w:i w:val="0"/>
                <w:caps w:val="0"/>
                <w:color w:val="2A6396"/>
                <w:sz w:val="18"/>
              </w:rPr>
              <w:t>Récompenses de proximité</w:t>
            </w:r>
          </w:p>
        </w:tc>
        <w:tc>
          <w:tcPr>
            <w:tcW w:type="dxa" w:w="4309"/>
            <w:shd w:val="clear" w:color="auto" w:fill="F3F7FA"/>
          </w:tcPr>
          <w:p>
            <w:pPr>
              <w:spacing w:before="50" w:after="50"/>
            </w:pPr>
            <w:r>
              <w:rPr>
                <w:rFonts w:ascii="Century Gothic" w:hAnsi="Century Gothic" w:eastAsia="Century Gothic"/>
                <w:b w:val="0"/>
                <w:i w:val="0"/>
                <w:caps w:val="0"/>
                <w:color w:val="121826"/>
                <w:sz w:val="18"/>
              </w:rPr>
              <w:t>Tablettes, forfaits de données, kits scolaires pour les meilleurs de chaque préfecture</w:t>
            </w:r>
          </w:p>
        </w:tc>
        <w:tc>
          <w:tcPr>
            <w:tcW w:type="dxa" w:w="2948"/>
            <w:shd w:val="clear" w:color="auto" w:fill="F3F7FA"/>
          </w:tcPr>
          <w:p>
            <w:pPr>
              <w:spacing w:before="50" w:after="50"/>
            </w:pPr>
            <w:r>
              <w:rPr>
                <w:rFonts w:ascii="Century Gothic" w:hAnsi="Century Gothic" w:eastAsia="Century Gothic"/>
                <w:b w:val="0"/>
                <w:i w:val="0"/>
                <w:caps w:val="0"/>
                <w:color w:val="121826"/>
                <w:sz w:val="18"/>
              </w:rPr>
              <w:t>Opérateurs télécoms, partenaires</w:t>
            </w:r>
          </w:p>
        </w:tc>
      </w:tr>
    </w:tbl>
    <w:p>
      <w:pPr>
        <w:spacing w:after="40"/>
      </w:pPr>
    </w:p>
    <w:p>
      <w:pPr>
        <w:spacing w:before="0" w:after="120" w:line="276" w:lineRule="auto"/>
        <w:jc w:val="both"/>
      </w:pPr>
      <w:r>
        <w:rPr>
          <w:rFonts w:ascii="Century Gothic" w:hAnsi="Century Gothic" w:eastAsia="Century Gothic"/>
          <w:b w:val="0"/>
          <w:i w:val="0"/>
          <w:caps w:val="0"/>
          <w:color w:val="121826"/>
          <w:sz w:val="20"/>
        </w:rPr>
        <w:t>Règles d'équité : des lauréats dans chacune des huit régions administratives et à Conakry ; un objectif de parité filles-garçons ; des catégories d'âge ; la publication des critères et des résultats. Exemple d'une campagne type : « Ma santé, mes gestes » (Ministère de la Santé) — 200 000 participants attendus, 33 lauréats préfectoraux, 8 bourses régionales en sciences de la santé, 50 stages dans les hôpitaux régionaux.</w:t>
      </w:r>
    </w:p>
    <w:p>
      <w:pPr>
        <w:keepNext/>
        <w:spacing w:before="280" w:after="120"/>
        <w:pBdr>
          <w:bottom w:val="single" w:sz="8" w:color="E8A858" w:space="2"/>
        </w:pBdr>
      </w:pPr>
      <w:r>
        <w:rPr>
          <w:rFonts w:ascii="Century Gothic" w:hAnsi="Century Gothic" w:eastAsia="Century Gothic"/>
          <w:b/>
          <w:i w:val="0"/>
          <w:caps w:val="0"/>
          <w:color w:val="2A6396"/>
          <w:sz w:val="25"/>
        </w:rPr>
        <w:t>7. CE QUI SE FAIT AILLEURS : ENSEIGNEMENTS</w:t>
      </w:r>
    </w:p>
    <w:p>
      <w:pPr>
        <w:spacing w:before="0" w:after="120" w:line="276" w:lineRule="auto"/>
        <w:jc w:val="both"/>
      </w:pPr>
      <w:r>
        <w:rPr>
          <w:rFonts w:ascii="Century Gothic" w:hAnsi="Century Gothic" w:eastAsia="Century Gothic"/>
          <w:b w:val="0"/>
          <w:i w:val="0"/>
          <w:caps w:val="0"/>
          <w:color w:val="121826"/>
          <w:sz w:val="20"/>
        </w:rPr>
        <w:t>Aucune plateforme n'a encore réuni, en Afrique, des quiz publiés par les ministères et des récompenses de mérite. Les initiatives suivantes, en Inde, au Kenya, à Singapour et dans le monde, valident chacune l'un des choix de la proposition.</w:t>
      </w:r>
    </w:p>
    <w:tbl>
      <w:tblPr>
        <w:tblW w:type="auto" w:w="0"/>
        <w:tblLayout w:type="fixed"/>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2041"/>
        <w:gridCol w:w="4082"/>
        <w:gridCol w:w="3515"/>
      </w:tblGrid>
      <w:tr>
        <w:tc>
          <w:tcPr>
            <w:tcW w:type="dxa" w:w="2041"/>
            <w:shd w:val="clear" w:color="auto" w:fill="2F6EA6"/>
          </w:tcPr>
          <w:p>
            <w:pPr>
              <w:spacing w:before="60" w:after="60"/>
            </w:pPr>
            <w:r>
              <w:rPr>
                <w:rFonts w:ascii="Century Gothic" w:hAnsi="Century Gothic" w:eastAsia="Century Gothic"/>
                <w:b/>
                <w:i w:val="0"/>
                <w:caps w:val="0"/>
                <w:color w:val="FFFFFF"/>
                <w:sz w:val="17"/>
              </w:rPr>
              <w:t>Initiative</w:t>
            </w:r>
          </w:p>
        </w:tc>
        <w:tc>
          <w:tcPr>
            <w:tcW w:type="dxa" w:w="4082"/>
            <w:shd w:val="clear" w:color="auto" w:fill="2F6EA6"/>
          </w:tcPr>
          <w:p>
            <w:pPr>
              <w:spacing w:before="60" w:after="60"/>
            </w:pPr>
            <w:r>
              <w:rPr>
                <w:rFonts w:ascii="Century Gothic" w:hAnsi="Century Gothic" w:eastAsia="Century Gothic"/>
                <w:b/>
                <w:i w:val="0"/>
                <w:caps w:val="0"/>
                <w:color w:val="FFFFFF"/>
                <w:sz w:val="17"/>
              </w:rPr>
              <w:t>Ce qu'elle montre</w:t>
            </w:r>
          </w:p>
        </w:tc>
        <w:tc>
          <w:tcPr>
            <w:tcW w:type="dxa" w:w="3515"/>
            <w:shd w:val="clear" w:color="auto" w:fill="2F6EA6"/>
          </w:tcPr>
          <w:p>
            <w:pPr>
              <w:spacing w:before="60" w:after="60"/>
            </w:pPr>
            <w:r>
              <w:rPr>
                <w:rFonts w:ascii="Century Gothic" w:hAnsi="Century Gothic" w:eastAsia="Century Gothic"/>
                <w:b/>
                <w:i w:val="0"/>
                <w:caps w:val="0"/>
                <w:color w:val="FFFFFF"/>
                <w:sz w:val="17"/>
              </w:rPr>
              <w:t>Enseignement pour la Guinée</w:t>
            </w:r>
          </w:p>
        </w:tc>
      </w:tr>
      <w:tr>
        <w:tc>
          <w:tcPr>
            <w:tcW w:type="dxa" w:w="2041"/>
          </w:tcPr>
          <w:p>
            <w:pPr>
              <w:spacing w:before="50" w:after="50"/>
            </w:pPr>
            <w:r>
              <w:rPr>
                <w:rFonts w:ascii="Century Gothic" w:hAnsi="Century Gothic" w:eastAsia="Century Gothic"/>
                <w:b/>
                <w:i w:val="0"/>
                <w:caps w:val="0"/>
                <w:color w:val="2A6396"/>
                <w:sz w:val="18"/>
              </w:rPr>
              <w:t>MyGov Quiz — Inde (État)</w:t>
            </w:r>
          </w:p>
        </w:tc>
        <w:tc>
          <w:tcPr>
            <w:tcW w:type="dxa" w:w="4082"/>
          </w:tcPr>
          <w:p>
            <w:pPr>
              <w:spacing w:before="50" w:after="50"/>
            </w:pPr>
            <w:r>
              <w:rPr>
                <w:rFonts w:ascii="Century Gothic" w:hAnsi="Century Gothic" w:eastAsia="Century Gothic"/>
                <w:b w:val="0"/>
                <w:i w:val="0"/>
                <w:caps w:val="0"/>
                <w:color w:val="121826"/>
                <w:sz w:val="18"/>
              </w:rPr>
              <w:t>Plateforme gouvernementale où chaque ministère publie ses propres quiz (santé, numérique, environnement…), avec certificats et prix. Le quiz « Viksit Bharat » 2025 a réuni plus de 5 millions de participants et un record mondial de 390 812 participants en une semaine.</w:t>
            </w:r>
          </w:p>
        </w:tc>
        <w:tc>
          <w:tcPr>
            <w:tcW w:type="dxa" w:w="3515"/>
          </w:tcPr>
          <w:p>
            <w:pPr>
              <w:spacing w:before="50" w:after="50"/>
            </w:pPr>
            <w:r>
              <w:rPr>
                <w:rFonts w:ascii="Century Gothic" w:hAnsi="Century Gothic" w:eastAsia="Century Gothic"/>
                <w:b w:val="0"/>
                <w:i w:val="0"/>
                <w:caps w:val="0"/>
                <w:color w:val="121826"/>
                <w:sz w:val="18"/>
              </w:rPr>
              <w:t>Une plateforme unique appartenant à l'État, alimentée par les ministères, avec certificats et récompenses, mobilise massivement la jeunesse.</w:t>
            </w:r>
          </w:p>
        </w:tc>
      </w:tr>
      <w:tr>
        <w:tc>
          <w:tcPr>
            <w:tcW w:type="dxa" w:w="2041"/>
            <w:shd w:val="clear" w:color="auto" w:fill="F3F7FA"/>
          </w:tcPr>
          <w:p>
            <w:pPr>
              <w:spacing w:before="50" w:after="50"/>
            </w:pPr>
            <w:r>
              <w:rPr>
                <w:rFonts w:ascii="Century Gothic" w:hAnsi="Century Gothic" w:eastAsia="Century Gothic"/>
                <w:b/>
                <w:i w:val="0"/>
                <w:caps w:val="0"/>
                <w:color w:val="2A6396"/>
                <w:sz w:val="18"/>
              </w:rPr>
              <w:t>Eneza Education — Kenya</w:t>
            </w:r>
          </w:p>
        </w:tc>
        <w:tc>
          <w:tcPr>
            <w:tcW w:type="dxa" w:w="4082"/>
            <w:shd w:val="clear" w:color="auto" w:fill="F3F7FA"/>
          </w:tcPr>
          <w:p>
            <w:pPr>
              <w:spacing w:before="50" w:after="50"/>
            </w:pPr>
            <w:r>
              <w:rPr>
                <w:rFonts w:ascii="Century Gothic" w:hAnsi="Century Gothic" w:eastAsia="Century Gothic"/>
                <w:b w:val="0"/>
                <w:i w:val="0"/>
                <w:caps w:val="0"/>
                <w:color w:val="121826"/>
                <w:sz w:val="18"/>
              </w:rPr>
              <w:t>Cours et quiz par SMS sur téléphones basiques : plus de 10 millions d'apprenants depuis 2012, 70 % en zone rurale, scores supérieurs de 22,7 % à ceux des autres élèves.</w:t>
            </w:r>
          </w:p>
        </w:tc>
        <w:tc>
          <w:tcPr>
            <w:tcW w:type="dxa" w:w="3515"/>
            <w:shd w:val="clear" w:color="auto" w:fill="F3F7FA"/>
          </w:tcPr>
          <w:p>
            <w:pPr>
              <w:spacing w:before="50" w:after="50"/>
            </w:pPr>
            <w:r>
              <w:rPr>
                <w:rFonts w:ascii="Century Gothic" w:hAnsi="Century Gothic" w:eastAsia="Century Gothic"/>
                <w:b w:val="0"/>
                <w:i w:val="0"/>
                <w:caps w:val="0"/>
                <w:color w:val="121826"/>
                <w:sz w:val="18"/>
              </w:rPr>
              <w:t>Le canal SMS/USSD (phase 2) permet d'atteindre les jeunes sans smartphone ni internet.</w:t>
            </w:r>
          </w:p>
        </w:tc>
      </w:tr>
      <w:tr>
        <w:tc>
          <w:tcPr>
            <w:tcW w:type="dxa" w:w="2041"/>
          </w:tcPr>
          <w:p>
            <w:pPr>
              <w:spacing w:before="50" w:after="50"/>
            </w:pPr>
            <w:r>
              <w:rPr>
                <w:rFonts w:ascii="Century Gothic" w:hAnsi="Century Gothic" w:eastAsia="Century Gothic"/>
                <w:b/>
                <w:i w:val="0"/>
                <w:caps w:val="0"/>
                <w:color w:val="2A6396"/>
                <w:sz w:val="18"/>
              </w:rPr>
              <w:t>SkillsFuture — Singapour</w:t>
            </w:r>
          </w:p>
        </w:tc>
        <w:tc>
          <w:tcPr>
            <w:tcW w:type="dxa" w:w="4082"/>
          </w:tcPr>
          <w:p>
            <w:pPr>
              <w:spacing w:before="50" w:after="50"/>
            </w:pPr>
            <w:r>
              <w:rPr>
                <w:rFonts w:ascii="Century Gothic" w:hAnsi="Century Gothic" w:eastAsia="Century Gothic"/>
                <w:b w:val="0"/>
                <w:i w:val="0"/>
                <w:caps w:val="0"/>
                <w:color w:val="121826"/>
                <w:sz w:val="18"/>
              </w:rPr>
              <w:t>Crédits de formation offerts aux citoyens : 1,05 million de Singapouriens les ont utilisés ; 69 % déclarent une amélioration de leur performance professionnelle.</w:t>
            </w:r>
          </w:p>
        </w:tc>
        <w:tc>
          <w:tcPr>
            <w:tcW w:type="dxa" w:w="3515"/>
          </w:tcPr>
          <w:p>
            <w:pPr>
              <w:spacing w:before="50" w:after="50"/>
            </w:pPr>
            <w:r>
              <w:rPr>
                <w:rFonts w:ascii="Century Gothic" w:hAnsi="Century Gothic" w:eastAsia="Century Gothic"/>
                <w:b w:val="0"/>
                <w:i w:val="0"/>
                <w:caps w:val="0"/>
                <w:color w:val="121826"/>
                <w:sz w:val="18"/>
              </w:rPr>
              <w:t>Relier l'apprentissage à une récompense concrète (formation, bourse) est le moteur de l'engagement.</w:t>
            </w:r>
          </w:p>
        </w:tc>
      </w:tr>
      <w:tr>
        <w:tc>
          <w:tcPr>
            <w:tcW w:type="dxa" w:w="2041"/>
            <w:shd w:val="clear" w:color="auto" w:fill="F3F7FA"/>
          </w:tcPr>
          <w:p>
            <w:pPr>
              <w:spacing w:before="50" w:after="50"/>
            </w:pPr>
            <w:r>
              <w:rPr>
                <w:rFonts w:ascii="Century Gothic" w:hAnsi="Century Gothic" w:eastAsia="Century Gothic"/>
                <w:b/>
                <w:i w:val="0"/>
                <w:caps w:val="0"/>
                <w:color w:val="2A6396"/>
                <w:sz w:val="18"/>
              </w:rPr>
              <w:t>Kahoot! — Norvège (privé)</w:t>
            </w:r>
          </w:p>
        </w:tc>
        <w:tc>
          <w:tcPr>
            <w:tcW w:type="dxa" w:w="4082"/>
            <w:shd w:val="clear" w:color="auto" w:fill="F3F7FA"/>
          </w:tcPr>
          <w:p>
            <w:pPr>
              <w:spacing w:before="50" w:after="50"/>
            </w:pPr>
            <w:r>
              <w:rPr>
                <w:rFonts w:ascii="Century Gothic" w:hAnsi="Century Gothic" w:eastAsia="Century Gothic"/>
                <w:b w:val="0"/>
                <w:i w:val="0"/>
                <w:caps w:val="0"/>
                <w:color w:val="121826"/>
                <w:sz w:val="18"/>
              </w:rPr>
              <w:t>Le format quiz a réuni plus de 14 milliards de participations dans le monde, à l'école comme en entreprise.</w:t>
            </w:r>
          </w:p>
        </w:tc>
        <w:tc>
          <w:tcPr>
            <w:tcW w:type="dxa" w:w="3515"/>
            <w:shd w:val="clear" w:color="auto" w:fill="F3F7FA"/>
          </w:tcPr>
          <w:p>
            <w:pPr>
              <w:spacing w:before="50" w:after="50"/>
            </w:pPr>
            <w:r>
              <w:rPr>
                <w:rFonts w:ascii="Century Gothic" w:hAnsi="Century Gothic" w:eastAsia="Century Gothic"/>
                <w:b w:val="0"/>
                <w:i w:val="0"/>
                <w:caps w:val="0"/>
                <w:color w:val="121826"/>
                <w:sz w:val="18"/>
              </w:rPr>
              <w:t>Le quiz est le format d'apprentissage numérique le plus engageant ; il n'a pas besoin d'être réinventé, seulement mis au service de la Nation.</w:t>
            </w:r>
          </w:p>
        </w:tc>
      </w:tr>
      <w:tr>
        <w:tc>
          <w:tcPr>
            <w:tcW w:type="dxa" w:w="2041"/>
          </w:tcPr>
          <w:p>
            <w:pPr>
              <w:spacing w:before="50" w:after="50"/>
            </w:pPr>
            <w:r>
              <w:rPr>
                <w:rFonts w:ascii="Century Gothic" w:hAnsi="Century Gothic" w:eastAsia="Century Gothic"/>
                <w:b/>
                <w:i w:val="0"/>
                <w:caps w:val="0"/>
                <w:color w:val="2A6396"/>
                <w:sz w:val="18"/>
              </w:rPr>
              <w:t>Guinée — Simandou Academy et unités mobiles de formation</w:t>
            </w:r>
          </w:p>
        </w:tc>
        <w:tc>
          <w:tcPr>
            <w:tcW w:type="dxa" w:w="4082"/>
          </w:tcPr>
          <w:p>
            <w:pPr>
              <w:spacing w:before="50" w:after="50"/>
            </w:pPr>
            <w:r>
              <w:rPr>
                <w:rFonts w:ascii="Century Gothic" w:hAnsi="Century Gothic" w:eastAsia="Century Gothic"/>
                <w:b w:val="0"/>
                <w:i w:val="0"/>
                <w:caps w:val="0"/>
                <w:color w:val="121826"/>
                <w:sz w:val="18"/>
              </w:rPr>
              <w:t>Des dispositifs de formation existent, mais sans porte d'entrée nationale, simple et méritocratique, pour y accéder.</w:t>
            </w:r>
          </w:p>
        </w:tc>
        <w:tc>
          <w:tcPr>
            <w:tcW w:type="dxa" w:w="3515"/>
          </w:tcPr>
          <w:p>
            <w:pPr>
              <w:spacing w:before="50" w:after="50"/>
            </w:pPr>
            <w:r>
              <w:rPr>
                <w:rFonts w:ascii="Century Gothic" w:hAnsi="Century Gothic" w:eastAsia="Century Gothic"/>
                <w:b w:val="0"/>
                <w:i w:val="0"/>
                <w:caps w:val="0"/>
                <w:color w:val="121826"/>
                <w:sz w:val="18"/>
              </w:rPr>
              <w:t>La plateforme devient la porte d'entrée de ces programmes et rend visibles les talents partout sur le territoire.</w:t>
            </w:r>
          </w:p>
        </w:tc>
      </w:tr>
    </w:tbl>
    <w:p>
      <w:pPr>
        <w:spacing w:after="40"/>
      </w:pPr>
    </w:p>
    <w:p>
      <w:pPr>
        <w:spacing w:before="0" w:after="120" w:line="276" w:lineRule="auto"/>
        <w:jc w:val="both"/>
      </w:pPr>
      <w:r>
        <w:rPr>
          <w:rFonts w:ascii="Century Gothic" w:hAnsi="Century Gothic" w:eastAsia="Century Gothic"/>
          <w:b w:val="0"/>
          <w:i w:val="0"/>
          <w:caps w:val="0"/>
          <w:color w:val="121826"/>
          <w:sz w:val="20"/>
        </w:rPr>
        <w:t>Aucun pays d'Afrique ne dispose aujourd'hui d'une plateforme d'État reliant des quiz publiés par les ministères à des bourses, des formations et des emplois. La Guinée serait la première, avec une solution en français, sobre en données, dont le code appartient à l'État.</w:t>
      </w:r>
    </w:p>
    <w:p>
      <w:pPr>
        <w:keepNext/>
        <w:spacing w:before="280" w:after="120"/>
        <w:pBdr>
          <w:bottom w:val="single" w:sz="8" w:color="E8A858" w:space="2"/>
        </w:pBdr>
      </w:pPr>
      <w:r>
        <w:rPr>
          <w:rFonts w:ascii="Century Gothic" w:hAnsi="Century Gothic" w:eastAsia="Century Gothic"/>
          <w:b/>
          <w:i w:val="0"/>
          <w:caps w:val="0"/>
          <w:color w:val="2A6396"/>
          <w:sz w:val="25"/>
        </w:rPr>
        <w:t>8. BÉNÉFICES ET IMPACT ATTENDUS</w:t>
      </w:r>
    </w:p>
    <w:p>
      <w:pPr>
        <w:keepNext/>
        <w:spacing w:before="160" w:after="60"/>
      </w:pPr>
      <w:r>
        <w:rPr>
          <w:rFonts w:ascii="Century Gothic" w:hAnsi="Century Gothic" w:eastAsia="Century Gothic"/>
          <w:b/>
          <w:i w:val="0"/>
          <w:caps w:val="0"/>
          <w:color w:val="C47D22"/>
          <w:sz w:val="21"/>
        </w:rPr>
        <w:t>8.1 Objectifs de la première année</w:t>
      </w:r>
    </w:p>
    <w:p>
      <w:pPr>
        <w:spacing w:before="0" w:after="120" w:line="276" w:lineRule="auto"/>
        <w:jc w:val="both"/>
      </w:pPr>
      <w:r>
        <w:rPr>
          <w:rFonts w:ascii="Century Gothic" w:hAnsi="Century Gothic" w:eastAsia="Century Gothic"/>
          <w:b w:val="0"/>
          <w:i w:val="0"/>
          <w:caps w:val="0"/>
          <w:color w:val="121826"/>
          <w:sz w:val="20"/>
        </w:rPr>
        <w:t>Les cibles ci-dessous seront suivies mensuellement par le comité de pilotage et publiées dans le rapport annuel.</w:t>
      </w:r>
    </w:p>
    <w:tbl>
      <w:tblPr>
        <w:tblW w:type="auto" w:w="0"/>
        <w:tblLayout w:type="fixed"/>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5953"/>
        <w:gridCol w:w="3685"/>
      </w:tblGrid>
      <w:tr>
        <w:tc>
          <w:tcPr>
            <w:tcW w:type="dxa" w:w="5953"/>
            <w:shd w:val="clear" w:color="auto" w:fill="2F6EA6"/>
          </w:tcPr>
          <w:p>
            <w:pPr>
              <w:spacing w:before="60" w:after="60"/>
            </w:pPr>
            <w:r>
              <w:rPr>
                <w:rFonts w:ascii="Century Gothic" w:hAnsi="Century Gothic" w:eastAsia="Century Gothic"/>
                <w:b/>
                <w:i w:val="0"/>
                <w:caps w:val="0"/>
                <w:color w:val="FFFFFF"/>
                <w:sz w:val="17"/>
              </w:rPr>
              <w:t>Indicateur</w:t>
            </w:r>
          </w:p>
        </w:tc>
        <w:tc>
          <w:tcPr>
            <w:tcW w:type="dxa" w:w="3685"/>
            <w:shd w:val="clear" w:color="auto" w:fill="2F6EA6"/>
          </w:tcPr>
          <w:p>
            <w:pPr>
              <w:spacing w:before="60" w:after="60"/>
            </w:pPr>
            <w:r>
              <w:rPr>
                <w:rFonts w:ascii="Century Gothic" w:hAnsi="Century Gothic" w:eastAsia="Century Gothic"/>
                <w:b/>
                <w:i w:val="0"/>
                <w:caps w:val="0"/>
                <w:color w:val="FFFFFF"/>
                <w:sz w:val="17"/>
              </w:rPr>
              <w:t>Cible année 1</w:t>
            </w:r>
          </w:p>
        </w:tc>
      </w:tr>
      <w:tr>
        <w:tc>
          <w:tcPr>
            <w:tcW w:type="dxa" w:w="5953"/>
          </w:tcPr>
          <w:p>
            <w:pPr>
              <w:spacing w:before="50" w:after="50"/>
            </w:pPr>
            <w:r>
              <w:rPr>
                <w:rFonts w:ascii="Century Gothic" w:hAnsi="Century Gothic" w:eastAsia="Century Gothic"/>
                <w:b/>
                <w:i w:val="0"/>
                <w:caps w:val="0"/>
                <w:color w:val="2A6396"/>
                <w:sz w:val="18"/>
              </w:rPr>
              <w:t>Institutions publiant au moins un quiz</w:t>
            </w:r>
          </w:p>
        </w:tc>
        <w:tc>
          <w:tcPr>
            <w:tcW w:type="dxa" w:w="3685"/>
          </w:tcPr>
          <w:p>
            <w:pPr>
              <w:spacing w:before="50" w:after="50"/>
            </w:pPr>
            <w:r>
              <w:rPr>
                <w:rFonts w:ascii="Century Gothic" w:hAnsi="Century Gothic" w:eastAsia="Century Gothic"/>
                <w:b w:val="0"/>
                <w:i w:val="0"/>
                <w:caps w:val="0"/>
                <w:color w:val="121826"/>
                <w:sz w:val="18"/>
              </w:rPr>
              <w:t>15 et plus</w:t>
            </w:r>
          </w:p>
        </w:tc>
      </w:tr>
      <w:tr>
        <w:tc>
          <w:tcPr>
            <w:tcW w:type="dxa" w:w="5953"/>
            <w:shd w:val="clear" w:color="auto" w:fill="F3F7FA"/>
          </w:tcPr>
          <w:p>
            <w:pPr>
              <w:spacing w:before="50" w:after="50"/>
            </w:pPr>
            <w:r>
              <w:rPr>
                <w:rFonts w:ascii="Century Gothic" w:hAnsi="Century Gothic" w:eastAsia="Century Gothic"/>
                <w:b/>
                <w:i w:val="0"/>
                <w:caps w:val="0"/>
                <w:color w:val="2A6396"/>
                <w:sz w:val="18"/>
              </w:rPr>
              <w:t>Quiz publiés</w:t>
            </w:r>
          </w:p>
        </w:tc>
        <w:tc>
          <w:tcPr>
            <w:tcW w:type="dxa" w:w="3685"/>
            <w:shd w:val="clear" w:color="auto" w:fill="F3F7FA"/>
          </w:tcPr>
          <w:p>
            <w:pPr>
              <w:spacing w:before="50" w:after="50"/>
            </w:pPr>
            <w:r>
              <w:rPr>
                <w:rFonts w:ascii="Century Gothic" w:hAnsi="Century Gothic" w:eastAsia="Century Gothic"/>
                <w:b w:val="0"/>
                <w:i w:val="0"/>
                <w:caps w:val="0"/>
                <w:color w:val="121826"/>
                <w:sz w:val="18"/>
              </w:rPr>
              <w:t>40 et plus</w:t>
            </w:r>
          </w:p>
        </w:tc>
      </w:tr>
      <w:tr>
        <w:tc>
          <w:tcPr>
            <w:tcW w:type="dxa" w:w="5953"/>
          </w:tcPr>
          <w:p>
            <w:pPr>
              <w:spacing w:before="50" w:after="50"/>
            </w:pPr>
            <w:r>
              <w:rPr>
                <w:rFonts w:ascii="Century Gothic" w:hAnsi="Century Gothic" w:eastAsia="Century Gothic"/>
                <w:b/>
                <w:i w:val="0"/>
                <w:caps w:val="0"/>
                <w:color w:val="2A6396"/>
                <w:sz w:val="18"/>
              </w:rPr>
              <w:t>Participants uniques</w:t>
            </w:r>
          </w:p>
        </w:tc>
        <w:tc>
          <w:tcPr>
            <w:tcW w:type="dxa" w:w="3685"/>
          </w:tcPr>
          <w:p>
            <w:pPr>
              <w:spacing w:before="50" w:after="50"/>
            </w:pPr>
            <w:r>
              <w:rPr>
                <w:rFonts w:ascii="Century Gothic" w:hAnsi="Century Gothic" w:eastAsia="Century Gothic"/>
                <w:b w:val="0"/>
                <w:i w:val="0"/>
                <w:caps w:val="0"/>
                <w:color w:val="121826"/>
                <w:sz w:val="18"/>
              </w:rPr>
              <w:t>500 000 (capacité : 1 000 000 par mois)</w:t>
            </w:r>
          </w:p>
        </w:tc>
      </w:tr>
      <w:tr>
        <w:tc>
          <w:tcPr>
            <w:tcW w:type="dxa" w:w="5953"/>
            <w:shd w:val="clear" w:color="auto" w:fill="F3F7FA"/>
          </w:tcPr>
          <w:p>
            <w:pPr>
              <w:spacing w:before="50" w:after="50"/>
            </w:pPr>
            <w:r>
              <w:rPr>
                <w:rFonts w:ascii="Century Gothic" w:hAnsi="Century Gothic" w:eastAsia="Century Gothic"/>
                <w:b/>
                <w:i w:val="0"/>
                <w:caps w:val="0"/>
                <w:color w:val="2A6396"/>
                <w:sz w:val="18"/>
              </w:rPr>
              <w:t>Certificats délivrés</w:t>
            </w:r>
          </w:p>
        </w:tc>
        <w:tc>
          <w:tcPr>
            <w:tcW w:type="dxa" w:w="3685"/>
            <w:shd w:val="clear" w:color="auto" w:fill="F3F7FA"/>
          </w:tcPr>
          <w:p>
            <w:pPr>
              <w:spacing w:before="50" w:after="50"/>
            </w:pPr>
            <w:r>
              <w:rPr>
                <w:rFonts w:ascii="Century Gothic" w:hAnsi="Century Gothic" w:eastAsia="Century Gothic"/>
                <w:b w:val="0"/>
                <w:i w:val="0"/>
                <w:caps w:val="0"/>
                <w:color w:val="121826"/>
                <w:sz w:val="18"/>
              </w:rPr>
              <w:t>150 000</w:t>
            </w:r>
          </w:p>
        </w:tc>
      </w:tr>
      <w:tr>
        <w:tc>
          <w:tcPr>
            <w:tcW w:type="dxa" w:w="5953"/>
          </w:tcPr>
          <w:p>
            <w:pPr>
              <w:spacing w:before="50" w:after="50"/>
            </w:pPr>
            <w:r>
              <w:rPr>
                <w:rFonts w:ascii="Century Gothic" w:hAnsi="Century Gothic" w:eastAsia="Century Gothic"/>
                <w:b/>
                <w:i w:val="0"/>
                <w:caps w:val="0"/>
                <w:color w:val="2A6396"/>
                <w:sz w:val="18"/>
              </w:rPr>
              <w:t>Jeunes récompensés (bourses, formations, stages, emplois)</w:t>
            </w:r>
          </w:p>
        </w:tc>
        <w:tc>
          <w:tcPr>
            <w:tcW w:type="dxa" w:w="3685"/>
          </w:tcPr>
          <w:p>
            <w:pPr>
              <w:spacing w:before="50" w:after="50"/>
            </w:pPr>
            <w:r>
              <w:rPr>
                <w:rFonts w:ascii="Century Gothic" w:hAnsi="Century Gothic" w:eastAsia="Century Gothic"/>
                <w:b w:val="0"/>
                <w:i w:val="0"/>
                <w:caps w:val="0"/>
                <w:color w:val="121826"/>
                <w:sz w:val="18"/>
              </w:rPr>
              <w:t>1 000 et plus</w:t>
            </w:r>
          </w:p>
        </w:tc>
      </w:tr>
      <w:tr>
        <w:tc>
          <w:tcPr>
            <w:tcW w:type="dxa" w:w="5953"/>
            <w:shd w:val="clear" w:color="auto" w:fill="F3F7FA"/>
          </w:tcPr>
          <w:p>
            <w:pPr>
              <w:spacing w:before="50" w:after="50"/>
            </w:pPr>
            <w:r>
              <w:rPr>
                <w:rFonts w:ascii="Century Gothic" w:hAnsi="Century Gothic" w:eastAsia="Century Gothic"/>
                <w:b/>
                <w:i w:val="0"/>
                <w:caps w:val="0"/>
                <w:color w:val="2A6396"/>
                <w:sz w:val="18"/>
              </w:rPr>
              <w:t>Couverture territoriale</w:t>
            </w:r>
          </w:p>
        </w:tc>
        <w:tc>
          <w:tcPr>
            <w:tcW w:type="dxa" w:w="3685"/>
            <w:shd w:val="clear" w:color="auto" w:fill="F3F7FA"/>
          </w:tcPr>
          <w:p>
            <w:pPr>
              <w:spacing w:before="50" w:after="50"/>
            </w:pPr>
            <w:r>
              <w:rPr>
                <w:rFonts w:ascii="Century Gothic" w:hAnsi="Century Gothic" w:eastAsia="Century Gothic"/>
                <w:b w:val="0"/>
                <w:i w:val="0"/>
                <w:caps w:val="0"/>
                <w:color w:val="121826"/>
                <w:sz w:val="18"/>
              </w:rPr>
              <w:t>Les 33 préfectures et les 5 communes de Conakry</w:t>
            </w:r>
          </w:p>
        </w:tc>
      </w:tr>
      <w:tr>
        <w:tc>
          <w:tcPr>
            <w:tcW w:type="dxa" w:w="5953"/>
          </w:tcPr>
          <w:p>
            <w:pPr>
              <w:spacing w:before="50" w:after="50"/>
            </w:pPr>
            <w:r>
              <w:rPr>
                <w:rFonts w:ascii="Century Gothic" w:hAnsi="Century Gothic" w:eastAsia="Century Gothic"/>
                <w:b/>
                <w:i w:val="0"/>
                <w:caps w:val="0"/>
                <w:color w:val="2A6396"/>
                <w:sz w:val="18"/>
              </w:rPr>
              <w:t>Part de participantes</w:t>
            </w:r>
          </w:p>
        </w:tc>
        <w:tc>
          <w:tcPr>
            <w:tcW w:type="dxa" w:w="3685"/>
          </w:tcPr>
          <w:p>
            <w:pPr>
              <w:spacing w:before="50" w:after="50"/>
            </w:pPr>
            <w:r>
              <w:rPr>
                <w:rFonts w:ascii="Century Gothic" w:hAnsi="Century Gothic" w:eastAsia="Century Gothic"/>
                <w:b w:val="0"/>
                <w:i w:val="0"/>
                <w:caps w:val="0"/>
                <w:color w:val="121826"/>
                <w:sz w:val="18"/>
              </w:rPr>
              <w:t>45 % et plus</w:t>
            </w:r>
          </w:p>
        </w:tc>
      </w:tr>
      <w:tr>
        <w:tc>
          <w:tcPr>
            <w:tcW w:type="dxa" w:w="5953"/>
            <w:shd w:val="clear" w:color="auto" w:fill="F3F7FA"/>
          </w:tcPr>
          <w:p>
            <w:pPr>
              <w:spacing w:before="50" w:after="50"/>
            </w:pPr>
            <w:r>
              <w:rPr>
                <w:rFonts w:ascii="Century Gothic" w:hAnsi="Century Gothic" w:eastAsia="Century Gothic"/>
                <w:b/>
                <w:i w:val="0"/>
                <w:caps w:val="0"/>
                <w:color w:val="2A6396"/>
                <w:sz w:val="18"/>
              </w:rPr>
              <w:t>Disponibilité de la plateforme</w:t>
            </w:r>
          </w:p>
        </w:tc>
        <w:tc>
          <w:tcPr>
            <w:tcW w:type="dxa" w:w="3685"/>
            <w:shd w:val="clear" w:color="auto" w:fill="F3F7FA"/>
          </w:tcPr>
          <w:p>
            <w:pPr>
              <w:spacing w:before="50" w:after="50"/>
            </w:pPr>
            <w:r>
              <w:rPr>
                <w:rFonts w:ascii="Century Gothic" w:hAnsi="Century Gothic" w:eastAsia="Century Gothic"/>
                <w:b w:val="0"/>
                <w:i w:val="0"/>
                <w:caps w:val="0"/>
                <w:color w:val="121826"/>
                <w:sz w:val="18"/>
              </w:rPr>
              <w:t>99,9 %</w:t>
            </w:r>
          </w:p>
        </w:tc>
      </w:tr>
    </w:tbl>
    <w:p>
      <w:pPr>
        <w:spacing w:after="40"/>
      </w:pPr>
    </w:p>
    <w:p>
      <w:pPr>
        <w:keepNext/>
        <w:spacing w:before="160" w:after="60"/>
      </w:pPr>
      <w:r>
        <w:rPr>
          <w:rFonts w:ascii="Century Gothic" w:hAnsi="Century Gothic" w:eastAsia="Century Gothic"/>
          <w:b/>
          <w:i w:val="0"/>
          <w:caps w:val="0"/>
          <w:color w:val="C47D22"/>
          <w:sz w:val="21"/>
        </w:rPr>
        <w:t>8.2 Ce que chacun y gagne</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Pour la jeunesse : des connaissances utiles, une reconnaissance officielle (certificats, Passeport du Mérite) et des opportunités réelles fondées sur le mérite, quel que soit le lieu de résidence ou le réseau familial.</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Pour les institutions : un canal direct et mesurable vers des centaines de milliers de jeunes, pour expliquer leurs missions, leurs réformes et leurs services (impôt citoyen, sécurité routière, prévention sanitaire, agriculture moderne, patrimoine), et un vivier de talents identifiés.</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Pour l'État : un outil de cohésion nationale et de civisme, une image de modernité et de transparence, des données pour ajuster les politiques publiques, et une réduction du coût de détection des talents.</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Pour l'économie : un capital humain mieux aligné sur les besoins de Simandou 2040 et du contenu local, des jeunes orientés vers les métiers d'avenir, des entreprises partenaires qui recrutent sur des critères objectifs.</w:t>
      </w:r>
    </w:p>
    <w:p>
      <w:pPr>
        <w:spacing w:before="0" w:after="40"/>
      </w:pPr>
    </w:p>
    <w:p>
      <w:pPr>
        <w:spacing w:before="0" w:after="120" w:line="276" w:lineRule="auto"/>
        <w:jc w:val="both"/>
      </w:pPr>
      <w:r>
        <w:rPr>
          <w:rFonts w:ascii="Century Gothic" w:hAnsi="Century Gothic" w:eastAsia="Century Gothic"/>
          <w:b w:val="0"/>
          <w:i w:val="0"/>
          <w:caps w:val="0"/>
          <w:color w:val="121826"/>
          <w:sz w:val="20"/>
        </w:rPr>
        <w:t>Efficience : 370 000 000 GNF pour 500 000 participants représentent 740 GNF par jeune touché sur l'année, certificat et données compris ; à pleine capacité, 31 GNF par participant et par mois.</w:t>
      </w:r>
    </w:p>
    <w:p>
      <w:pPr>
        <w:keepNext/>
        <w:spacing w:before="280" w:after="120"/>
        <w:pBdr>
          <w:bottom w:val="single" w:sz="8" w:color="E8A858" w:space="2"/>
        </w:pBdr>
      </w:pPr>
      <w:r>
        <w:rPr>
          <w:rFonts w:ascii="Century Gothic" w:hAnsi="Century Gothic" w:eastAsia="Century Gothic"/>
          <w:b/>
          <w:i w:val="0"/>
          <w:caps w:val="0"/>
          <w:color w:val="2A6396"/>
          <w:sz w:val="25"/>
        </w:rPr>
        <w:t>9. GOUVERNANCE</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Maître d'ouvrage : le Secrétariat Général du Gouvernement, dont la vocation interministérielle garantit la neutralité de la plateforme et la mobilisation de toutes les institutions.</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Comité de pilotage, présidé par le SGG : Cabinet de la Présidence, Ministère de la Jeunesse et des Sports, Ministère de l'Enseignement pré-universitaire, de l'Alphabétisation et de l'Enseignement technique et de la formation professionnelle, Ministère de l'Enseignement supérieur, de la Recherche scientifique et de l'Innovation, Ministère des Postes, Télécommunications et de l'Économie numérique, Ministère du Budget, Agence nationale de la sécurité des systèmes d'information.</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Comité éditorial : historiens, pédagogues et représentants des institutions, chargé de valider la qualité et l'exactitude des questions avant publication.</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Points focaux : un titulaire et un suppléant par institution, formés par le projet, responsables du contenu et des récompenses de leur institution.</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Équipe projet (prestataire retenu par le SGG) : chef de projet, deux développeurs, un designer, un responsable du support et du contenu, sur douze mois ; transfert de compétences et remise du code source à l'État.</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Partenaires : opérateurs télécoms (SMS, accès aux données à tarif réduit), sociétés minières et entreprises du contenu local, universités, partenaires techniques et financiers pour la phase 2.</w:t>
      </w:r>
    </w:p>
    <w:p>
      <w:pPr>
        <w:spacing w:before="0" w:after="40"/>
      </w:pPr>
    </w:p>
    <w:p>
      <w:pPr>
        <w:keepNext/>
        <w:spacing w:before="280" w:after="120"/>
        <w:pBdr>
          <w:bottom w:val="single" w:sz="8" w:color="E8A858" w:space="2"/>
        </w:pBdr>
      </w:pPr>
      <w:r>
        <w:rPr>
          <w:rFonts w:ascii="Century Gothic" w:hAnsi="Century Gothic" w:eastAsia="Century Gothic"/>
          <w:b/>
          <w:i w:val="0"/>
          <w:caps w:val="0"/>
          <w:color w:val="2A6396"/>
          <w:sz w:val="25"/>
        </w:rPr>
        <w:t>10. ARCHITECTURE TECHNIQUE, SÉCURITÉ ET INCLUSION</w:t>
      </w:r>
    </w:p>
    <w:p>
      <w:pPr>
        <w:spacing w:before="0" w:after="120" w:line="276" w:lineRule="auto"/>
        <w:jc w:val="both"/>
      </w:pPr>
      <w:r>
        <w:rPr>
          <w:rFonts w:ascii="Century Gothic" w:hAnsi="Century Gothic" w:eastAsia="Century Gothic"/>
          <w:b w:val="0"/>
          <w:i w:val="0"/>
          <w:caps w:val="0"/>
          <w:color w:val="121826"/>
          <w:sz w:val="20"/>
        </w:rPr>
        <w:t>La plateforme prolonge l'architecture du pilote : une application web mobile d'abord, servie par un réseau de diffusion de contenu, un socle applicatif sans serveur à dimensionnement automatique et une base de données managée. Cette architecture absorbe des pics de plusieurs centaines de milliers de participants sans investissement matériel, avec une disponibilité visée de 99,9 %.</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Modules : portail des institutions, générateur de quiz, comptes participants avec vérification par SMS, moteur de classement, certificats PDF avec QR code de vérification, tableau de bord, notifications, interface d'export.</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Données et conformité : application de la Loi L/2016/037/AN relative à la cybersécurité et à la protection des données à caractère personnel ; collecte minimale (nom, téléphone, région, âge, sexe, situation) ; consentement explicite ; chiffrement ; sauvegardes quotidiennes ; audit indépendant avant lancement.</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Souveraineté : code source propriété de l'État et remis au SGG ; hébergement avec engagement de réversibilité et possibilité de rapatriement des données ; aucune dépendance à une licence payante.</w:t>
      </w:r>
    </w:p>
    <w:p>
      <w:pPr>
        <w:spacing w:before="0" w:after="60"/>
        <w:ind w:left="340" w:hanging="227"/>
      </w:pPr>
      <w:r>
        <w:rPr>
          <w:rFonts w:ascii="Century Gothic" w:hAnsi="Century Gothic" w:eastAsia="Century Gothic"/>
          <w:b/>
          <w:i w:val="0"/>
          <w:caps w:val="0"/>
          <w:color w:val="C47D22"/>
          <w:sz w:val="20"/>
        </w:rPr>
        <w:t xml:space="preserve">•  </w:t>
      </w:r>
      <w:r>
        <w:rPr>
          <w:rFonts w:ascii="Century Gothic" w:hAnsi="Century Gothic" w:eastAsia="Century Gothic"/>
          <w:b w:val="0"/>
          <w:i w:val="0"/>
          <w:caps w:val="0"/>
          <w:color w:val="121826"/>
          <w:sz w:val="20"/>
        </w:rPr>
        <w:t>Inclusion : moins de 300 Ko de données par quiz, fonctionnement sur les smartphones Android d'entrée de gamme, version hors ligne, contenus en français puis en langues nationales (texte et audio) ; phase 2 : accès par USSD/SMS pour les téléphones basiques.</w:t>
      </w:r>
    </w:p>
    <w:p>
      <w:pPr>
        <w:spacing w:before="0" w:after="40"/>
      </w:pPr>
    </w:p>
    <w:p>
      <w:pPr>
        <w:keepNext/>
        <w:spacing w:before="280" w:after="120"/>
        <w:pBdr>
          <w:bottom w:val="single" w:sz="8" w:color="E8A858" w:space="2"/>
        </w:pBdr>
      </w:pPr>
      <w:r>
        <w:rPr>
          <w:rFonts w:ascii="Century Gothic" w:hAnsi="Century Gothic" w:eastAsia="Century Gothic"/>
          <w:b/>
          <w:i w:val="0"/>
          <w:caps w:val="0"/>
          <w:color w:val="2A6396"/>
          <w:sz w:val="25"/>
        </w:rPr>
        <w:t>11. FEUILLE DE ROUTE SUR DOUZE MOIS</w:t>
      </w:r>
    </w:p>
    <w:p>
      <w:pPr>
        <w:spacing w:before="0" w:after="120" w:line="276" w:lineRule="auto"/>
        <w:jc w:val="both"/>
      </w:pPr>
      <w:r>
        <w:rPr>
          <w:rFonts w:ascii="Century Gothic" w:hAnsi="Century Gothic" w:eastAsia="Century Gothic"/>
          <w:b w:val="0"/>
          <w:i w:val="0"/>
          <w:caps w:val="0"/>
          <w:color w:val="121826"/>
          <w:sz w:val="20"/>
        </w:rPr>
        <w:t>Le calendrier part du pilote de la Semaine de l'Indépendance An 68 et aboutit, un an plus tard, à la première Cérémonie nationale du Mérite lors de la Semaine de l'Indépendance An 69.</w:t>
      </w:r>
    </w:p>
    <w:tbl>
      <w:tblPr>
        <w:tblW w:type="auto" w:w="0"/>
        <w:tblLayout w:type="fixed"/>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1814"/>
        <w:gridCol w:w="1701"/>
        <w:gridCol w:w="3742"/>
        <w:gridCol w:w="2381"/>
      </w:tblGrid>
      <w:tr>
        <w:tc>
          <w:tcPr>
            <w:tcW w:type="dxa" w:w="1814"/>
            <w:shd w:val="clear" w:color="auto" w:fill="2F6EA6"/>
          </w:tcPr>
          <w:p>
            <w:pPr>
              <w:spacing w:before="60" w:after="60"/>
            </w:pPr>
            <w:r>
              <w:rPr>
                <w:rFonts w:ascii="Century Gothic" w:hAnsi="Century Gothic" w:eastAsia="Century Gothic"/>
                <w:b/>
                <w:i w:val="0"/>
                <w:caps w:val="0"/>
                <w:color w:val="FFFFFF"/>
                <w:sz w:val="17"/>
              </w:rPr>
              <w:t>Phase</w:t>
            </w:r>
          </w:p>
        </w:tc>
        <w:tc>
          <w:tcPr>
            <w:tcW w:type="dxa" w:w="1701"/>
            <w:shd w:val="clear" w:color="auto" w:fill="2F6EA6"/>
          </w:tcPr>
          <w:p>
            <w:pPr>
              <w:spacing w:before="60" w:after="60"/>
            </w:pPr>
            <w:r>
              <w:rPr>
                <w:rFonts w:ascii="Century Gothic" w:hAnsi="Century Gothic" w:eastAsia="Century Gothic"/>
                <w:b/>
                <w:i w:val="0"/>
                <w:caps w:val="0"/>
                <w:color w:val="FFFFFF"/>
                <w:sz w:val="17"/>
              </w:rPr>
              <w:t>Période</w:t>
            </w:r>
          </w:p>
        </w:tc>
        <w:tc>
          <w:tcPr>
            <w:tcW w:type="dxa" w:w="3742"/>
            <w:shd w:val="clear" w:color="auto" w:fill="2F6EA6"/>
          </w:tcPr>
          <w:p>
            <w:pPr>
              <w:spacing w:before="60" w:after="60"/>
            </w:pPr>
            <w:r>
              <w:rPr>
                <w:rFonts w:ascii="Century Gothic" w:hAnsi="Century Gothic" w:eastAsia="Century Gothic"/>
                <w:b/>
                <w:i w:val="0"/>
                <w:caps w:val="0"/>
                <w:color w:val="FFFFFF"/>
                <w:sz w:val="17"/>
              </w:rPr>
              <w:t>Contenu</w:t>
            </w:r>
          </w:p>
        </w:tc>
        <w:tc>
          <w:tcPr>
            <w:tcW w:type="dxa" w:w="2381"/>
            <w:shd w:val="clear" w:color="auto" w:fill="2F6EA6"/>
          </w:tcPr>
          <w:p>
            <w:pPr>
              <w:spacing w:before="60" w:after="60"/>
            </w:pPr>
            <w:r>
              <w:rPr>
                <w:rFonts w:ascii="Century Gothic" w:hAnsi="Century Gothic" w:eastAsia="Century Gothic"/>
                <w:b/>
                <w:i w:val="0"/>
                <w:caps w:val="0"/>
                <w:color w:val="FFFFFF"/>
                <w:sz w:val="17"/>
              </w:rPr>
              <w:t>Livrable</w:t>
            </w:r>
          </w:p>
        </w:tc>
      </w:tr>
      <w:tr>
        <w:tc>
          <w:tcPr>
            <w:tcW w:type="dxa" w:w="1814"/>
          </w:tcPr>
          <w:p>
            <w:pPr>
              <w:spacing w:before="50" w:after="50"/>
            </w:pPr>
            <w:r>
              <w:rPr>
                <w:rFonts w:ascii="Century Gothic" w:hAnsi="Century Gothic" w:eastAsia="Century Gothic"/>
                <w:b/>
                <w:i w:val="0"/>
                <w:caps w:val="0"/>
                <w:color w:val="2A6396"/>
                <w:sz w:val="18"/>
              </w:rPr>
              <w:t>0 · Pilote An 68</w:t>
            </w:r>
          </w:p>
        </w:tc>
        <w:tc>
          <w:tcPr>
            <w:tcW w:type="dxa" w:w="1701"/>
          </w:tcPr>
          <w:p>
            <w:pPr>
              <w:spacing w:before="50" w:after="50"/>
            </w:pPr>
            <w:r>
              <w:rPr>
                <w:rFonts w:ascii="Century Gothic" w:hAnsi="Century Gothic" w:eastAsia="Century Gothic"/>
                <w:b w:val="0"/>
                <w:i w:val="0"/>
                <w:caps w:val="0"/>
                <w:color w:val="121826"/>
                <w:sz w:val="18"/>
              </w:rPr>
              <w:t>25 sept. – 2 oct. 2026</w:t>
            </w:r>
          </w:p>
        </w:tc>
        <w:tc>
          <w:tcPr>
            <w:tcW w:type="dxa" w:w="3742"/>
          </w:tcPr>
          <w:p>
            <w:pPr>
              <w:spacing w:before="50" w:after="50"/>
            </w:pPr>
            <w:r>
              <w:rPr>
                <w:rFonts w:ascii="Century Gothic" w:hAnsi="Century Gothic" w:eastAsia="Century Gothic"/>
                <w:b w:val="0"/>
                <w:i w:val="0"/>
                <w:caps w:val="0"/>
                <w:color w:val="121826"/>
                <w:sz w:val="18"/>
              </w:rPr>
              <w:t>Government Quiz (Simandou, Histoire de la Guinée) pendant la Semaine de l'Indépendance</w:t>
            </w:r>
          </w:p>
        </w:tc>
        <w:tc>
          <w:tcPr>
            <w:tcW w:type="dxa" w:w="2381"/>
          </w:tcPr>
          <w:p>
            <w:pPr>
              <w:spacing w:before="50" w:after="50"/>
            </w:pPr>
            <w:r>
              <w:rPr>
                <w:rFonts w:ascii="Century Gothic" w:hAnsi="Century Gothic" w:eastAsia="Century Gothic"/>
                <w:b w:val="0"/>
                <w:i w:val="0"/>
                <w:caps w:val="0"/>
                <w:color w:val="121826"/>
                <w:sz w:val="18"/>
              </w:rPr>
              <w:t>Rapport du pilote avec indicateurs</w:t>
            </w:r>
          </w:p>
        </w:tc>
      </w:tr>
      <w:tr>
        <w:tc>
          <w:tcPr>
            <w:tcW w:type="dxa" w:w="1814"/>
            <w:shd w:val="clear" w:color="auto" w:fill="F3F7FA"/>
          </w:tcPr>
          <w:p>
            <w:pPr>
              <w:spacing w:before="50" w:after="50"/>
            </w:pPr>
            <w:r>
              <w:rPr>
                <w:rFonts w:ascii="Century Gothic" w:hAnsi="Century Gothic" w:eastAsia="Century Gothic"/>
                <w:b/>
                <w:i w:val="0"/>
                <w:caps w:val="0"/>
                <w:color w:val="2A6396"/>
                <w:sz w:val="18"/>
              </w:rPr>
              <w:t>1 · Décision et cadrage</w:t>
            </w:r>
          </w:p>
        </w:tc>
        <w:tc>
          <w:tcPr>
            <w:tcW w:type="dxa" w:w="1701"/>
            <w:shd w:val="clear" w:color="auto" w:fill="F3F7FA"/>
          </w:tcPr>
          <w:p>
            <w:pPr>
              <w:spacing w:before="50" w:after="50"/>
            </w:pPr>
            <w:r>
              <w:rPr>
                <w:rFonts w:ascii="Century Gothic" w:hAnsi="Century Gothic" w:eastAsia="Century Gothic"/>
                <w:b w:val="0"/>
                <w:i w:val="0"/>
                <w:caps w:val="0"/>
                <w:color w:val="121826"/>
                <w:sz w:val="18"/>
              </w:rPr>
              <w:t>Octobre 2026</w:t>
            </w:r>
          </w:p>
        </w:tc>
        <w:tc>
          <w:tcPr>
            <w:tcW w:type="dxa" w:w="3742"/>
            <w:shd w:val="clear" w:color="auto" w:fill="F3F7FA"/>
          </w:tcPr>
          <w:p>
            <w:pPr>
              <w:spacing w:before="50" w:after="50"/>
            </w:pPr>
            <w:r>
              <w:rPr>
                <w:rFonts w:ascii="Century Gothic" w:hAnsi="Century Gothic" w:eastAsia="Century Gothic"/>
                <w:b w:val="0"/>
                <w:i w:val="0"/>
                <w:caps w:val="0"/>
                <w:color w:val="121826"/>
                <w:sz w:val="18"/>
              </w:rPr>
              <w:t>Approbation, désignation du SGG, nomination des points focaux, cahier des charges, sélection du prestataire</w:t>
            </w:r>
          </w:p>
        </w:tc>
        <w:tc>
          <w:tcPr>
            <w:tcW w:type="dxa" w:w="2381"/>
            <w:shd w:val="clear" w:color="auto" w:fill="F3F7FA"/>
          </w:tcPr>
          <w:p>
            <w:pPr>
              <w:spacing w:before="50" w:after="50"/>
            </w:pPr>
            <w:r>
              <w:rPr>
                <w:rFonts w:ascii="Century Gothic" w:hAnsi="Century Gothic" w:eastAsia="Century Gothic"/>
                <w:b w:val="0"/>
                <w:i w:val="0"/>
                <w:caps w:val="0"/>
                <w:color w:val="121826"/>
                <w:sz w:val="18"/>
              </w:rPr>
              <w:t>Arrêté de création du comité de pilotage ; cahier des charges</w:t>
            </w:r>
          </w:p>
        </w:tc>
      </w:tr>
      <w:tr>
        <w:tc>
          <w:tcPr>
            <w:tcW w:type="dxa" w:w="1814"/>
          </w:tcPr>
          <w:p>
            <w:pPr>
              <w:spacing w:before="50" w:after="50"/>
            </w:pPr>
            <w:r>
              <w:rPr>
                <w:rFonts w:ascii="Century Gothic" w:hAnsi="Century Gothic" w:eastAsia="Century Gothic"/>
                <w:b/>
                <w:i w:val="0"/>
                <w:caps w:val="0"/>
                <w:color w:val="2A6396"/>
                <w:sz w:val="18"/>
              </w:rPr>
              <w:t>2 · Construction</w:t>
            </w:r>
          </w:p>
        </w:tc>
        <w:tc>
          <w:tcPr>
            <w:tcW w:type="dxa" w:w="1701"/>
          </w:tcPr>
          <w:p>
            <w:pPr>
              <w:spacing w:before="50" w:after="50"/>
            </w:pPr>
            <w:r>
              <w:rPr>
                <w:rFonts w:ascii="Century Gothic" w:hAnsi="Century Gothic" w:eastAsia="Century Gothic"/>
                <w:b w:val="0"/>
                <w:i w:val="0"/>
                <w:caps w:val="0"/>
                <w:color w:val="121826"/>
                <w:sz w:val="18"/>
              </w:rPr>
              <w:t>Nov. 2026 – janv. 2027</w:t>
            </w:r>
          </w:p>
        </w:tc>
        <w:tc>
          <w:tcPr>
            <w:tcW w:type="dxa" w:w="3742"/>
          </w:tcPr>
          <w:p>
            <w:pPr>
              <w:spacing w:before="50" w:after="50"/>
            </w:pPr>
            <w:r>
              <w:rPr>
                <w:rFonts w:ascii="Century Gothic" w:hAnsi="Century Gothic" w:eastAsia="Century Gothic"/>
                <w:b w:val="0"/>
                <w:i w:val="0"/>
                <w:caps w:val="0"/>
                <w:color w:val="121826"/>
                <w:sz w:val="18"/>
              </w:rPr>
              <w:t>Portail des institutions, comptes, tableau de bord, module Mérite, audit de sécurité ; trois ministères pilotes préparent leurs quiz</w:t>
            </w:r>
          </w:p>
        </w:tc>
        <w:tc>
          <w:tcPr>
            <w:tcW w:type="dxa" w:w="2381"/>
          </w:tcPr>
          <w:p>
            <w:pPr>
              <w:spacing w:before="50" w:after="50"/>
            </w:pPr>
            <w:r>
              <w:rPr>
                <w:rFonts w:ascii="Century Gothic" w:hAnsi="Century Gothic" w:eastAsia="Century Gothic"/>
                <w:b w:val="0"/>
                <w:i w:val="0"/>
                <w:caps w:val="0"/>
                <w:color w:val="121826"/>
                <w:sz w:val="18"/>
              </w:rPr>
              <w:t>Plateforme recettée ; trois campagnes prêtes</w:t>
            </w:r>
          </w:p>
        </w:tc>
      </w:tr>
      <w:tr>
        <w:tc>
          <w:tcPr>
            <w:tcW w:type="dxa" w:w="1814"/>
            <w:shd w:val="clear" w:color="auto" w:fill="F3F7FA"/>
          </w:tcPr>
          <w:p>
            <w:pPr>
              <w:spacing w:before="50" w:after="50"/>
            </w:pPr>
            <w:r>
              <w:rPr>
                <w:rFonts w:ascii="Century Gothic" w:hAnsi="Century Gothic" w:eastAsia="Century Gothic"/>
                <w:b/>
                <w:i w:val="0"/>
                <w:caps w:val="0"/>
                <w:color w:val="2A6396"/>
                <w:sz w:val="18"/>
              </w:rPr>
              <w:t>3 · Lancement national</w:t>
            </w:r>
          </w:p>
        </w:tc>
        <w:tc>
          <w:tcPr>
            <w:tcW w:type="dxa" w:w="1701"/>
            <w:shd w:val="clear" w:color="auto" w:fill="F3F7FA"/>
          </w:tcPr>
          <w:p>
            <w:pPr>
              <w:spacing w:before="50" w:after="50"/>
            </w:pPr>
            <w:r>
              <w:rPr>
                <w:rFonts w:ascii="Century Gothic" w:hAnsi="Century Gothic" w:eastAsia="Century Gothic"/>
                <w:b w:val="0"/>
                <w:i w:val="0"/>
                <w:caps w:val="0"/>
                <w:color w:val="121826"/>
                <w:sz w:val="18"/>
              </w:rPr>
              <w:t>Février 2027</w:t>
            </w:r>
          </w:p>
        </w:tc>
        <w:tc>
          <w:tcPr>
            <w:tcW w:type="dxa" w:w="3742"/>
            <w:shd w:val="clear" w:color="auto" w:fill="F3F7FA"/>
          </w:tcPr>
          <w:p>
            <w:pPr>
              <w:spacing w:before="50" w:after="50"/>
            </w:pPr>
            <w:r>
              <w:rPr>
                <w:rFonts w:ascii="Century Gothic" w:hAnsi="Century Gothic" w:eastAsia="Century Gothic"/>
                <w:b w:val="0"/>
                <w:i w:val="0"/>
                <w:caps w:val="0"/>
                <w:color w:val="121826"/>
                <w:sz w:val="18"/>
              </w:rPr>
              <w:t>Lancement avec cinq à huit institutions ; première campagne nationale « Guinée, mon pays » ; premières récompenses</w:t>
            </w:r>
          </w:p>
        </w:tc>
        <w:tc>
          <w:tcPr>
            <w:tcW w:type="dxa" w:w="2381"/>
            <w:shd w:val="clear" w:color="auto" w:fill="F3F7FA"/>
          </w:tcPr>
          <w:p>
            <w:pPr>
              <w:spacing w:before="50" w:after="50"/>
            </w:pPr>
            <w:r>
              <w:rPr>
                <w:rFonts w:ascii="Century Gothic" w:hAnsi="Century Gothic" w:eastAsia="Century Gothic"/>
                <w:b w:val="0"/>
                <w:i w:val="0"/>
                <w:caps w:val="0"/>
                <w:color w:val="121826"/>
                <w:sz w:val="18"/>
              </w:rPr>
              <w:t>Plateforme en service ; premiers lauréats</w:t>
            </w:r>
          </w:p>
        </w:tc>
      </w:tr>
      <w:tr>
        <w:tc>
          <w:tcPr>
            <w:tcW w:type="dxa" w:w="1814"/>
          </w:tcPr>
          <w:p>
            <w:pPr>
              <w:spacing w:before="50" w:after="50"/>
            </w:pPr>
            <w:r>
              <w:rPr>
                <w:rFonts w:ascii="Century Gothic" w:hAnsi="Century Gothic" w:eastAsia="Century Gothic"/>
                <w:b/>
                <w:i w:val="0"/>
                <w:caps w:val="0"/>
                <w:color w:val="2A6396"/>
                <w:sz w:val="18"/>
              </w:rPr>
              <w:t>4 · Montée en charge</w:t>
            </w:r>
          </w:p>
        </w:tc>
        <w:tc>
          <w:tcPr>
            <w:tcW w:type="dxa" w:w="1701"/>
          </w:tcPr>
          <w:p>
            <w:pPr>
              <w:spacing w:before="50" w:after="50"/>
            </w:pPr>
            <w:r>
              <w:rPr>
                <w:rFonts w:ascii="Century Gothic" w:hAnsi="Century Gothic" w:eastAsia="Century Gothic"/>
                <w:b w:val="0"/>
                <w:i w:val="0"/>
                <w:caps w:val="0"/>
                <w:color w:val="121826"/>
                <w:sz w:val="18"/>
              </w:rPr>
              <w:t>Mars – sept. 2027</w:t>
            </w:r>
          </w:p>
        </w:tc>
        <w:tc>
          <w:tcPr>
            <w:tcW w:type="dxa" w:w="3742"/>
          </w:tcPr>
          <w:p>
            <w:pPr>
              <w:spacing w:before="50" w:after="50"/>
            </w:pPr>
            <w:r>
              <w:rPr>
                <w:rFonts w:ascii="Century Gothic" w:hAnsi="Century Gothic" w:eastAsia="Century Gothic"/>
                <w:b w:val="0"/>
                <w:i w:val="0"/>
                <w:caps w:val="0"/>
                <w:color w:val="121826"/>
                <w:sz w:val="18"/>
              </w:rPr>
              <w:t>Quinze institutions et plus, campagnes mensuelles, finales régionales, langues nationales, préparation du canal SMS</w:t>
            </w:r>
          </w:p>
        </w:tc>
        <w:tc>
          <w:tcPr>
            <w:tcW w:type="dxa" w:w="2381"/>
          </w:tcPr>
          <w:p>
            <w:pPr>
              <w:spacing w:before="50" w:after="50"/>
            </w:pPr>
            <w:r>
              <w:rPr>
                <w:rFonts w:ascii="Century Gothic" w:hAnsi="Century Gothic" w:eastAsia="Century Gothic"/>
                <w:b w:val="0"/>
                <w:i w:val="0"/>
                <w:caps w:val="0"/>
                <w:color w:val="121826"/>
                <w:sz w:val="18"/>
              </w:rPr>
              <w:t>Rapports mensuels ; 1 000 lauréats</w:t>
            </w:r>
          </w:p>
        </w:tc>
      </w:tr>
      <w:tr>
        <w:tc>
          <w:tcPr>
            <w:tcW w:type="dxa" w:w="1814"/>
            <w:shd w:val="clear" w:color="auto" w:fill="F3F7FA"/>
          </w:tcPr>
          <w:p>
            <w:pPr>
              <w:spacing w:before="50" w:after="50"/>
            </w:pPr>
            <w:r>
              <w:rPr>
                <w:rFonts w:ascii="Century Gothic" w:hAnsi="Century Gothic" w:eastAsia="Century Gothic"/>
                <w:b/>
                <w:i w:val="0"/>
                <w:caps w:val="0"/>
                <w:color w:val="2A6396"/>
                <w:sz w:val="18"/>
              </w:rPr>
              <w:t>5 · Cérémonie du Mérite</w:t>
            </w:r>
          </w:p>
        </w:tc>
        <w:tc>
          <w:tcPr>
            <w:tcW w:type="dxa" w:w="1701"/>
            <w:shd w:val="clear" w:color="auto" w:fill="F3F7FA"/>
          </w:tcPr>
          <w:p>
            <w:pPr>
              <w:spacing w:before="50" w:after="50"/>
            </w:pPr>
            <w:r>
              <w:rPr>
                <w:rFonts w:ascii="Century Gothic" w:hAnsi="Century Gothic" w:eastAsia="Century Gothic"/>
                <w:b w:val="0"/>
                <w:i w:val="0"/>
                <w:caps w:val="0"/>
                <w:color w:val="121826"/>
                <w:sz w:val="18"/>
              </w:rPr>
              <w:t>Octobre 2027 (An 69)</w:t>
            </w:r>
          </w:p>
        </w:tc>
        <w:tc>
          <w:tcPr>
            <w:tcW w:type="dxa" w:w="3742"/>
            <w:shd w:val="clear" w:color="auto" w:fill="F3F7FA"/>
          </w:tcPr>
          <w:p>
            <w:pPr>
              <w:spacing w:before="50" w:after="50"/>
            </w:pPr>
            <w:r>
              <w:rPr>
                <w:rFonts w:ascii="Century Gothic" w:hAnsi="Century Gothic" w:eastAsia="Century Gothic"/>
                <w:b w:val="0"/>
                <w:i w:val="0"/>
                <w:caps w:val="0"/>
                <w:color w:val="121826"/>
                <w:sz w:val="18"/>
              </w:rPr>
              <w:t>Finale nationale et remise des récompenses présidée par le Chef de l'État lors de la Semaine de l'Indépendance</w:t>
            </w:r>
          </w:p>
        </w:tc>
        <w:tc>
          <w:tcPr>
            <w:tcW w:type="dxa" w:w="2381"/>
            <w:shd w:val="clear" w:color="auto" w:fill="F3F7FA"/>
          </w:tcPr>
          <w:p>
            <w:pPr>
              <w:spacing w:before="50" w:after="50"/>
            </w:pPr>
            <w:r>
              <w:rPr>
                <w:rFonts w:ascii="Century Gothic" w:hAnsi="Century Gothic" w:eastAsia="Century Gothic"/>
                <w:b w:val="0"/>
                <w:i w:val="0"/>
                <w:caps w:val="0"/>
                <w:color w:val="121826"/>
                <w:sz w:val="18"/>
              </w:rPr>
              <w:t>Bilan de l'année 1 ; plan de l'année 2</w:t>
            </w:r>
          </w:p>
        </w:tc>
      </w:tr>
    </w:tbl>
    <w:p>
      <w:pPr>
        <w:spacing w:after="40"/>
      </w:pPr>
    </w:p>
    <w:p>
      <w:pPr>
        <w:keepNext/>
        <w:spacing w:before="280" w:after="120"/>
        <w:pBdr>
          <w:bottom w:val="single" w:sz="8" w:color="E8A858" w:space="2"/>
        </w:pBdr>
      </w:pPr>
      <w:r>
        <w:rPr>
          <w:rFonts w:ascii="Century Gothic" w:hAnsi="Century Gothic" w:eastAsia="Century Gothic"/>
          <w:b/>
          <w:i w:val="0"/>
          <w:caps w:val="0"/>
          <w:color w:val="2A6396"/>
          <w:sz w:val="25"/>
        </w:rPr>
        <w:t>12. BUDGET : 370 000 000 GNF POUR LA CONSTRUCTION ET DOUZE MOIS D'EXPLOITATION</w:t>
      </w:r>
    </w:p>
    <w:p>
      <w:pPr>
        <w:spacing w:before="0" w:after="120" w:line="276" w:lineRule="auto"/>
        <w:jc w:val="both"/>
      </w:pPr>
      <w:r>
        <w:rPr>
          <w:rFonts w:ascii="Century Gothic" w:hAnsi="Century Gothic" w:eastAsia="Century Gothic"/>
          <w:b w:val="0"/>
          <w:i w:val="0"/>
          <w:caps w:val="0"/>
          <w:color w:val="121826"/>
          <w:sz w:val="20"/>
        </w:rPr>
        <w:t>Le budget couvre la conception de la plateforme, son hébergement dimensionné pour un million d'utilisateurs par mois, sa sécurité, son exploitation pendant douze mois et l'accompagnement des institutions. Il ne comprend pas les récompenses, apportées en nature par les institutions et les partenaires.</w:t>
      </w:r>
    </w:p>
    <w:tbl>
      <w:tblPr>
        <w:tblW w:type="auto" w:w="0"/>
        <w:tblLayout w:type="fixed"/>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567"/>
        <w:gridCol w:w="7030"/>
        <w:gridCol w:w="2041"/>
      </w:tblGrid>
      <w:tr>
        <w:tc>
          <w:tcPr>
            <w:tcW w:type="dxa" w:w="567"/>
            <w:shd w:val="clear" w:color="auto" w:fill="2F6EA6"/>
          </w:tcPr>
          <w:p>
            <w:pPr>
              <w:spacing w:before="60" w:after="60"/>
            </w:pPr>
            <w:r>
              <w:rPr>
                <w:rFonts w:ascii="Century Gothic" w:hAnsi="Century Gothic" w:eastAsia="Century Gothic"/>
                <w:b/>
                <w:i w:val="0"/>
                <w:caps w:val="0"/>
                <w:color w:val="FFFFFF"/>
                <w:sz w:val="17"/>
              </w:rPr>
              <w:t>N°</w:t>
            </w:r>
          </w:p>
        </w:tc>
        <w:tc>
          <w:tcPr>
            <w:tcW w:type="dxa" w:w="7030"/>
            <w:shd w:val="clear" w:color="auto" w:fill="2F6EA6"/>
          </w:tcPr>
          <w:p>
            <w:pPr>
              <w:spacing w:before="60" w:after="60"/>
            </w:pPr>
            <w:r>
              <w:rPr>
                <w:rFonts w:ascii="Century Gothic" w:hAnsi="Century Gothic" w:eastAsia="Century Gothic"/>
                <w:b/>
                <w:i w:val="0"/>
                <w:caps w:val="0"/>
                <w:color w:val="FFFFFF"/>
                <w:sz w:val="17"/>
              </w:rPr>
              <w:t>Poste</w:t>
            </w:r>
          </w:p>
        </w:tc>
        <w:tc>
          <w:tcPr>
            <w:tcW w:type="dxa" w:w="2041"/>
            <w:shd w:val="clear" w:color="auto" w:fill="2F6EA6"/>
          </w:tcPr>
          <w:p>
            <w:pPr>
              <w:spacing w:before="60" w:after="60"/>
              <w:jc w:val="right"/>
            </w:pPr>
            <w:r>
              <w:rPr>
                <w:rFonts w:ascii="Century Gothic" w:hAnsi="Century Gothic" w:eastAsia="Century Gothic"/>
                <w:b/>
                <w:i w:val="0"/>
                <w:caps w:val="0"/>
                <w:color w:val="FFFFFF"/>
                <w:sz w:val="17"/>
              </w:rPr>
              <w:t>Montant (GNF)</w:t>
            </w:r>
          </w:p>
        </w:tc>
      </w:tr>
      <w:tr>
        <w:tc>
          <w:tcPr>
            <w:tcW w:type="dxa" w:w="567"/>
          </w:tcPr>
          <w:p>
            <w:pPr>
              <w:spacing w:before="60"/>
              <w:jc w:val="center"/>
            </w:pPr>
            <w:r>
              <w:rPr>
                <w:rFonts w:ascii="Century Gothic" w:hAnsi="Century Gothic" w:eastAsia="Century Gothic"/>
                <w:b/>
                <w:i w:val="0"/>
                <w:caps w:val="0"/>
                <w:color w:val="2A6396"/>
                <w:sz w:val="18"/>
              </w:rPr>
              <w:t>1</w:t>
            </w:r>
          </w:p>
        </w:tc>
        <w:tc>
          <w:tcPr>
            <w:tcW w:type="dxa" w:w="7030"/>
          </w:tcPr>
          <w:p>
            <w:pPr>
              <w:spacing w:before="60"/>
            </w:pPr>
            <w:r>
              <w:rPr>
                <w:rFonts w:ascii="Century Gothic" w:hAnsi="Century Gothic" w:eastAsia="Century Gothic"/>
                <w:b/>
                <w:i w:val="0"/>
                <w:caps w:val="0"/>
                <w:color w:val="121826"/>
                <w:sz w:val="19"/>
              </w:rPr>
              <w:t>Conception et développement de la plateforme</w:t>
            </w:r>
          </w:p>
          <w:p>
            <w:pPr>
              <w:spacing w:after="60"/>
            </w:pPr>
            <w:r>
              <w:rPr>
                <w:rFonts w:ascii="Century Gothic" w:hAnsi="Century Gothic" w:eastAsia="Century Gothic"/>
                <w:b w:val="0"/>
                <w:i w:val="0"/>
                <w:caps w:val="0"/>
                <w:color w:val="7F838F"/>
                <w:sz w:val="17"/>
              </w:rPr>
              <w:t>Portail des institutions (téléversement, prévisualisation, validation), générateur de quiz, comptes participants avec vérification par SMS, classements, certificats avec QR code, tableau de bord, module « Mérite »</w:t>
            </w:r>
          </w:p>
        </w:tc>
        <w:tc>
          <w:tcPr>
            <w:tcW w:type="dxa" w:w="2041"/>
          </w:tcPr>
          <w:p>
            <w:pPr>
              <w:spacing w:before="60"/>
              <w:jc w:val="right"/>
            </w:pPr>
            <w:r>
              <w:rPr>
                <w:rFonts w:ascii="Century Gothic" w:hAnsi="Century Gothic" w:eastAsia="Century Gothic"/>
                <w:b/>
                <w:i w:val="0"/>
                <w:caps w:val="0"/>
                <w:color w:val="121826"/>
                <w:sz w:val="19"/>
              </w:rPr>
              <w:t>150 000 000</w:t>
            </w:r>
          </w:p>
        </w:tc>
      </w:tr>
      <w:tr>
        <w:tc>
          <w:tcPr>
            <w:tcW w:type="dxa" w:w="567"/>
          </w:tcPr>
          <w:p>
            <w:pPr>
              <w:spacing w:before="60"/>
              <w:jc w:val="center"/>
            </w:pPr>
            <w:r>
              <w:rPr>
                <w:rFonts w:ascii="Century Gothic" w:hAnsi="Century Gothic" w:eastAsia="Century Gothic"/>
                <w:b/>
                <w:i w:val="0"/>
                <w:caps w:val="0"/>
                <w:color w:val="2A6396"/>
                <w:sz w:val="18"/>
              </w:rPr>
              <w:t>2</w:t>
            </w:r>
          </w:p>
        </w:tc>
        <w:tc>
          <w:tcPr>
            <w:tcW w:type="dxa" w:w="7030"/>
          </w:tcPr>
          <w:p>
            <w:pPr>
              <w:spacing w:before="60"/>
            </w:pPr>
            <w:r>
              <w:rPr>
                <w:rFonts w:ascii="Century Gothic" w:hAnsi="Century Gothic" w:eastAsia="Century Gothic"/>
                <w:b/>
                <w:i w:val="0"/>
                <w:caps w:val="0"/>
                <w:color w:val="121826"/>
                <w:sz w:val="19"/>
              </w:rPr>
              <w:t>Hébergement et infrastructure (12 mois)</w:t>
            </w:r>
          </w:p>
          <w:p>
            <w:pPr>
              <w:spacing w:after="60"/>
            </w:pPr>
            <w:r>
              <w:rPr>
                <w:rFonts w:ascii="Century Gothic" w:hAnsi="Century Gothic" w:eastAsia="Century Gothic"/>
                <w:b w:val="0"/>
                <w:i w:val="0"/>
                <w:caps w:val="0"/>
                <w:color w:val="7F838F"/>
                <w:sz w:val="17"/>
              </w:rPr>
              <w:t>Diffusion de contenu (CDN), base de données, stockage, envois SMS de vérification, sauvegardes ; dimensionné jusqu'à 1 million d'utilisateurs par mois</w:t>
            </w:r>
          </w:p>
        </w:tc>
        <w:tc>
          <w:tcPr>
            <w:tcW w:type="dxa" w:w="2041"/>
          </w:tcPr>
          <w:p>
            <w:pPr>
              <w:spacing w:before="60"/>
              <w:jc w:val="right"/>
            </w:pPr>
            <w:r>
              <w:rPr>
                <w:rFonts w:ascii="Century Gothic" w:hAnsi="Century Gothic" w:eastAsia="Century Gothic"/>
                <w:b/>
                <w:i w:val="0"/>
                <w:caps w:val="0"/>
                <w:color w:val="121826"/>
                <w:sz w:val="19"/>
              </w:rPr>
              <w:t>60 000 000</w:t>
            </w:r>
          </w:p>
        </w:tc>
      </w:tr>
      <w:tr>
        <w:tc>
          <w:tcPr>
            <w:tcW w:type="dxa" w:w="567"/>
          </w:tcPr>
          <w:p>
            <w:pPr>
              <w:spacing w:before="60"/>
              <w:jc w:val="center"/>
            </w:pPr>
            <w:r>
              <w:rPr>
                <w:rFonts w:ascii="Century Gothic" w:hAnsi="Century Gothic" w:eastAsia="Century Gothic"/>
                <w:b/>
                <w:i w:val="0"/>
                <w:caps w:val="0"/>
                <w:color w:val="2A6396"/>
                <w:sz w:val="18"/>
              </w:rPr>
              <w:t>3</w:t>
            </w:r>
          </w:p>
        </w:tc>
        <w:tc>
          <w:tcPr>
            <w:tcW w:type="dxa" w:w="7030"/>
          </w:tcPr>
          <w:p>
            <w:pPr>
              <w:spacing w:before="60"/>
            </w:pPr>
            <w:r>
              <w:rPr>
                <w:rFonts w:ascii="Century Gothic" w:hAnsi="Century Gothic" w:eastAsia="Century Gothic"/>
                <w:b/>
                <w:i w:val="0"/>
                <w:caps w:val="0"/>
                <w:color w:val="121826"/>
                <w:sz w:val="19"/>
              </w:rPr>
              <w:t>Sécurité, conformité et audit</w:t>
            </w:r>
          </w:p>
          <w:p>
            <w:pPr>
              <w:spacing w:after="60"/>
            </w:pPr>
            <w:r>
              <w:rPr>
                <w:rFonts w:ascii="Century Gothic" w:hAnsi="Century Gothic" w:eastAsia="Century Gothic"/>
                <w:b w:val="0"/>
                <w:i w:val="0"/>
                <w:caps w:val="0"/>
                <w:color w:val="7F838F"/>
                <w:sz w:val="17"/>
              </w:rPr>
              <w:t>Tests d'intrusion, protection des données personnelles (Loi L/2016/037/AN), audit indépendant avant lancement</w:t>
            </w:r>
          </w:p>
        </w:tc>
        <w:tc>
          <w:tcPr>
            <w:tcW w:type="dxa" w:w="2041"/>
          </w:tcPr>
          <w:p>
            <w:pPr>
              <w:spacing w:before="60"/>
              <w:jc w:val="right"/>
            </w:pPr>
            <w:r>
              <w:rPr>
                <w:rFonts w:ascii="Century Gothic" w:hAnsi="Century Gothic" w:eastAsia="Century Gothic"/>
                <w:b/>
                <w:i w:val="0"/>
                <w:caps w:val="0"/>
                <w:color w:val="121826"/>
                <w:sz w:val="19"/>
              </w:rPr>
              <w:t>25 000 000</w:t>
            </w:r>
          </w:p>
        </w:tc>
      </w:tr>
      <w:tr>
        <w:tc>
          <w:tcPr>
            <w:tcW w:type="dxa" w:w="567"/>
          </w:tcPr>
          <w:p>
            <w:pPr>
              <w:spacing w:before="60"/>
              <w:jc w:val="center"/>
            </w:pPr>
            <w:r>
              <w:rPr>
                <w:rFonts w:ascii="Century Gothic" w:hAnsi="Century Gothic" w:eastAsia="Century Gothic"/>
                <w:b/>
                <w:i w:val="0"/>
                <w:caps w:val="0"/>
                <w:color w:val="2A6396"/>
                <w:sz w:val="18"/>
              </w:rPr>
              <w:t>4</w:t>
            </w:r>
          </w:p>
        </w:tc>
        <w:tc>
          <w:tcPr>
            <w:tcW w:type="dxa" w:w="7030"/>
          </w:tcPr>
          <w:p>
            <w:pPr>
              <w:spacing w:before="60"/>
            </w:pPr>
            <w:r>
              <w:rPr>
                <w:rFonts w:ascii="Century Gothic" w:hAnsi="Century Gothic" w:eastAsia="Century Gothic"/>
                <w:b/>
                <w:i w:val="0"/>
                <w:caps w:val="0"/>
                <w:color w:val="121826"/>
                <w:sz w:val="19"/>
              </w:rPr>
              <w:t>Exploitation, maintenance et support (12 mois)</w:t>
            </w:r>
          </w:p>
          <w:p>
            <w:pPr>
              <w:spacing w:after="60"/>
            </w:pPr>
            <w:r>
              <w:rPr>
                <w:rFonts w:ascii="Century Gothic" w:hAnsi="Century Gothic" w:eastAsia="Century Gothic"/>
                <w:b w:val="0"/>
                <w:i w:val="0"/>
                <w:caps w:val="0"/>
                <w:color w:val="7F838F"/>
                <w:sz w:val="17"/>
              </w:rPr>
              <w:t>Équipe d'exploitation, corrections et évolutions, assistance aux institutions et aux participants, rapports mensuels</w:t>
            </w:r>
          </w:p>
        </w:tc>
        <w:tc>
          <w:tcPr>
            <w:tcW w:type="dxa" w:w="2041"/>
          </w:tcPr>
          <w:p>
            <w:pPr>
              <w:spacing w:before="60"/>
              <w:jc w:val="right"/>
            </w:pPr>
            <w:r>
              <w:rPr>
                <w:rFonts w:ascii="Century Gothic" w:hAnsi="Century Gothic" w:eastAsia="Century Gothic"/>
                <w:b/>
                <w:i w:val="0"/>
                <w:caps w:val="0"/>
                <w:color w:val="121826"/>
                <w:sz w:val="19"/>
              </w:rPr>
              <w:t>80 000 000</w:t>
            </w:r>
          </w:p>
        </w:tc>
      </w:tr>
      <w:tr>
        <w:tc>
          <w:tcPr>
            <w:tcW w:type="dxa" w:w="567"/>
          </w:tcPr>
          <w:p>
            <w:pPr>
              <w:spacing w:before="60"/>
              <w:jc w:val="center"/>
            </w:pPr>
            <w:r>
              <w:rPr>
                <w:rFonts w:ascii="Century Gothic" w:hAnsi="Century Gothic" w:eastAsia="Century Gothic"/>
                <w:b/>
                <w:i w:val="0"/>
                <w:caps w:val="0"/>
                <w:color w:val="2A6396"/>
                <w:sz w:val="18"/>
              </w:rPr>
              <w:t>5</w:t>
            </w:r>
          </w:p>
        </w:tc>
        <w:tc>
          <w:tcPr>
            <w:tcW w:type="dxa" w:w="7030"/>
          </w:tcPr>
          <w:p>
            <w:pPr>
              <w:spacing w:before="60"/>
            </w:pPr>
            <w:r>
              <w:rPr>
                <w:rFonts w:ascii="Century Gothic" w:hAnsi="Century Gothic" w:eastAsia="Century Gothic"/>
                <w:b/>
                <w:i w:val="0"/>
                <w:caps w:val="0"/>
                <w:color w:val="121826"/>
                <w:sz w:val="19"/>
              </w:rPr>
              <w:t>Formation des points focaux et accompagnement éditorial</w:t>
            </w:r>
          </w:p>
          <w:p>
            <w:pPr>
              <w:spacing w:after="60"/>
            </w:pPr>
            <w:r>
              <w:rPr>
                <w:rFonts w:ascii="Century Gothic" w:hAnsi="Century Gothic" w:eastAsia="Century Gothic"/>
                <w:b w:val="0"/>
                <w:i w:val="0"/>
                <w:caps w:val="0"/>
                <w:color w:val="7F838F"/>
                <w:sz w:val="17"/>
              </w:rPr>
              <w:t>Ateliers pour les institutions, guide et modèles de questions, appui à la rédaction des premières campagnes</w:t>
            </w:r>
          </w:p>
        </w:tc>
        <w:tc>
          <w:tcPr>
            <w:tcW w:type="dxa" w:w="2041"/>
          </w:tcPr>
          <w:p>
            <w:pPr>
              <w:spacing w:before="60"/>
              <w:jc w:val="right"/>
            </w:pPr>
            <w:r>
              <w:rPr>
                <w:rFonts w:ascii="Century Gothic" w:hAnsi="Century Gothic" w:eastAsia="Century Gothic"/>
                <w:b/>
                <w:i w:val="0"/>
                <w:caps w:val="0"/>
                <w:color w:val="121826"/>
                <w:sz w:val="19"/>
              </w:rPr>
              <w:t>20 000 000</w:t>
            </w:r>
          </w:p>
        </w:tc>
      </w:tr>
      <w:tr>
        <w:tc>
          <w:tcPr>
            <w:tcW w:type="dxa" w:w="567"/>
          </w:tcPr>
          <w:p>
            <w:pPr>
              <w:spacing w:before="60"/>
              <w:jc w:val="center"/>
            </w:pPr>
            <w:r>
              <w:rPr>
                <w:rFonts w:ascii="Century Gothic" w:hAnsi="Century Gothic" w:eastAsia="Century Gothic"/>
                <w:b/>
                <w:i w:val="0"/>
                <w:caps w:val="0"/>
                <w:color w:val="2A6396"/>
                <w:sz w:val="18"/>
              </w:rPr>
              <w:t>6</w:t>
            </w:r>
          </w:p>
        </w:tc>
        <w:tc>
          <w:tcPr>
            <w:tcW w:type="dxa" w:w="7030"/>
          </w:tcPr>
          <w:p>
            <w:pPr>
              <w:spacing w:before="60"/>
            </w:pPr>
            <w:r>
              <w:rPr>
                <w:rFonts w:ascii="Century Gothic" w:hAnsi="Century Gothic" w:eastAsia="Century Gothic"/>
                <w:b/>
                <w:i w:val="0"/>
                <w:caps w:val="0"/>
                <w:color w:val="121826"/>
                <w:sz w:val="19"/>
              </w:rPr>
              <w:t>Communication digitale et lancement</w:t>
            </w:r>
          </w:p>
          <w:p>
            <w:pPr>
              <w:spacing w:after="60"/>
            </w:pPr>
            <w:r>
              <w:rPr>
                <w:rFonts w:ascii="Century Gothic" w:hAnsi="Century Gothic" w:eastAsia="Century Gothic"/>
                <w:b w:val="0"/>
                <w:i w:val="0"/>
                <w:caps w:val="0"/>
                <w:color w:val="7F838F"/>
                <w:sz w:val="17"/>
              </w:rPr>
              <w:t>Identité visuelle, contenus pour les réseaux sociaux, vidéos courtes, matériel de lancement des campagnes</w:t>
            </w:r>
          </w:p>
        </w:tc>
        <w:tc>
          <w:tcPr>
            <w:tcW w:type="dxa" w:w="2041"/>
          </w:tcPr>
          <w:p>
            <w:pPr>
              <w:spacing w:before="60"/>
              <w:jc w:val="right"/>
            </w:pPr>
            <w:r>
              <w:rPr>
                <w:rFonts w:ascii="Century Gothic" w:hAnsi="Century Gothic" w:eastAsia="Century Gothic"/>
                <w:b/>
                <w:i w:val="0"/>
                <w:caps w:val="0"/>
                <w:color w:val="121826"/>
                <w:sz w:val="19"/>
              </w:rPr>
              <w:t>20 000 000</w:t>
            </w:r>
          </w:p>
        </w:tc>
      </w:tr>
      <w:tr>
        <w:tc>
          <w:tcPr>
            <w:tcW w:type="dxa" w:w="567"/>
          </w:tcPr>
          <w:p>
            <w:pPr>
              <w:spacing w:before="60"/>
              <w:jc w:val="center"/>
            </w:pPr>
            <w:r>
              <w:rPr>
                <w:rFonts w:ascii="Century Gothic" w:hAnsi="Century Gothic" w:eastAsia="Century Gothic"/>
                <w:b/>
                <w:i w:val="0"/>
                <w:caps w:val="0"/>
                <w:color w:val="2A6396"/>
                <w:sz w:val="18"/>
              </w:rPr>
              <w:t>7</w:t>
            </w:r>
          </w:p>
        </w:tc>
        <w:tc>
          <w:tcPr>
            <w:tcW w:type="dxa" w:w="7030"/>
          </w:tcPr>
          <w:p>
            <w:pPr>
              <w:spacing w:before="60"/>
            </w:pPr>
            <w:r>
              <w:rPr>
                <w:rFonts w:ascii="Century Gothic" w:hAnsi="Century Gothic" w:eastAsia="Century Gothic"/>
                <w:b/>
                <w:i w:val="0"/>
                <w:caps w:val="0"/>
                <w:color w:val="121826"/>
                <w:sz w:val="19"/>
              </w:rPr>
              <w:t>Provision pour imprévus (environ 4 %)</w:t>
            </w:r>
          </w:p>
          <w:p>
            <w:pPr>
              <w:spacing w:after="60"/>
            </w:pPr>
            <w:r>
              <w:rPr>
                <w:rFonts w:ascii="Century Gothic" w:hAnsi="Century Gothic" w:eastAsia="Century Gothic"/>
                <w:b w:val="0"/>
                <w:i w:val="0"/>
                <w:caps w:val="0"/>
                <w:color w:val="7F838F"/>
                <w:sz w:val="17"/>
              </w:rPr>
              <w:t>Aléas techniques, coûts SMS supplémentaires en cas de forte affluence</w:t>
            </w:r>
          </w:p>
        </w:tc>
        <w:tc>
          <w:tcPr>
            <w:tcW w:type="dxa" w:w="2041"/>
          </w:tcPr>
          <w:p>
            <w:pPr>
              <w:spacing w:before="60"/>
              <w:jc w:val="right"/>
            </w:pPr>
            <w:r>
              <w:rPr>
                <w:rFonts w:ascii="Century Gothic" w:hAnsi="Century Gothic" w:eastAsia="Century Gothic"/>
                <w:b/>
                <w:i w:val="0"/>
                <w:caps w:val="0"/>
                <w:color w:val="121826"/>
                <w:sz w:val="19"/>
              </w:rPr>
              <w:t>15 000 000</w:t>
            </w:r>
          </w:p>
        </w:tc>
      </w:tr>
      <w:tr>
        <w:tc>
          <w:tcPr>
            <w:tcW w:type="dxa" w:w="567"/>
            <w:shd w:val="clear" w:color="auto" w:fill="E8A858"/>
          </w:tcPr>
          <w:p>
            <w:pPr>
              <w:spacing w:before="80" w:after="80"/>
            </w:pPr>
          </w:p>
        </w:tc>
        <w:tc>
          <w:tcPr>
            <w:tcW w:type="dxa" w:w="7030"/>
            <w:shd w:val="clear" w:color="auto" w:fill="E8A858"/>
          </w:tcPr>
          <w:p>
            <w:pPr>
              <w:spacing w:before="80" w:after="80"/>
            </w:pPr>
            <w:r>
              <w:rPr>
                <w:rFonts w:ascii="Century Gothic" w:hAnsi="Century Gothic" w:eastAsia="Century Gothic"/>
                <w:b/>
                <w:i w:val="0"/>
                <w:caps w:val="0"/>
                <w:color w:val="121826"/>
                <w:sz w:val="20"/>
              </w:rPr>
              <w:t>TOTAL — construction et 12 mois d'exploitation</w:t>
            </w:r>
          </w:p>
        </w:tc>
        <w:tc>
          <w:tcPr>
            <w:tcW w:type="dxa" w:w="2041"/>
            <w:shd w:val="clear" w:color="auto" w:fill="E8A858"/>
          </w:tcPr>
          <w:p>
            <w:pPr>
              <w:spacing w:before="80" w:after="80"/>
              <w:jc w:val="right"/>
            </w:pPr>
            <w:r>
              <w:rPr>
                <w:rFonts w:ascii="Century Gothic" w:hAnsi="Century Gothic" w:eastAsia="Century Gothic"/>
                <w:b/>
                <w:i w:val="0"/>
                <w:caps w:val="0"/>
                <w:color w:val="121826"/>
                <w:sz w:val="22"/>
              </w:rPr>
              <w:t>370 000 000</w:t>
            </w:r>
          </w:p>
        </w:tc>
      </w:tr>
    </w:tbl>
    <w:p>
      <w:pPr>
        <w:spacing w:after="40"/>
      </w:pPr>
    </w:p>
    <w:p>
      <w:pPr>
        <w:spacing w:before="0" w:after="120" w:line="276" w:lineRule="auto"/>
        <w:jc w:val="both"/>
      </w:pPr>
      <w:r>
        <w:rPr>
          <w:rFonts w:ascii="Century Gothic" w:hAnsi="Century Gothic" w:eastAsia="Century Gothic"/>
          <w:b w:val="0"/>
          <w:i w:val="0"/>
          <w:caps w:val="0"/>
          <w:color w:val="121826"/>
          <w:sz w:val="20"/>
        </w:rPr>
        <w:t>Total : 370 000 000 GNF, soit environ 42 100 USD au taux de 8 780 GNF pour un dollar (septembre 2026). Les récompenses (bourses, places de formation, stages, emplois) sont des contributions en nature des institutions et des partenaires, hors budget de la plateforme, réunies dans le Fonds du Mérite. Le budget de l'année 2 se limitera à l'exploitation et aux évolutions (canal SMS, langues nationales), estimé à moins de la moitié du budget de l'année 1.</w:t>
      </w:r>
    </w:p>
    <w:p>
      <w:pPr>
        <w:keepNext/>
        <w:spacing w:before="280" w:after="120"/>
        <w:pBdr>
          <w:bottom w:val="single" w:sz="8" w:color="E8A858" w:space="2"/>
        </w:pBdr>
      </w:pPr>
      <w:r>
        <w:rPr>
          <w:rFonts w:ascii="Century Gothic" w:hAnsi="Century Gothic" w:eastAsia="Century Gothic"/>
          <w:b/>
          <w:i w:val="0"/>
          <w:caps w:val="0"/>
          <w:color w:val="2A6396"/>
          <w:sz w:val="25"/>
        </w:rPr>
        <w:t>13. RISQUES ET MESURES DE MAÎTRISE</w:t>
      </w:r>
    </w:p>
    <w:p>
      <w:pPr>
        <w:spacing w:before="0" w:after="120" w:line="276" w:lineRule="auto"/>
        <w:jc w:val="both"/>
      </w:pPr>
      <w:r>
        <w:rPr>
          <w:rFonts w:ascii="Century Gothic" w:hAnsi="Century Gothic" w:eastAsia="Century Gothic"/>
          <w:b w:val="0"/>
          <w:i w:val="0"/>
          <w:caps w:val="0"/>
          <w:color w:val="121826"/>
          <w:sz w:val="20"/>
        </w:rPr>
        <w:t>Les principaux risques ont été identifiés dès le pilote ; chacun dispose d'une mesure de maîtrise intégrée au projet.</w:t>
      </w:r>
    </w:p>
    <w:tbl>
      <w:tblPr>
        <w:tblW w:type="auto" w:w="0"/>
        <w:tblLayout w:type="fixed"/>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2551"/>
        <w:gridCol w:w="7087"/>
      </w:tblGrid>
      <w:tr>
        <w:tc>
          <w:tcPr>
            <w:tcW w:type="dxa" w:w="2551"/>
            <w:shd w:val="clear" w:color="auto" w:fill="2F6EA6"/>
          </w:tcPr>
          <w:p>
            <w:pPr>
              <w:spacing w:before="60" w:after="60"/>
            </w:pPr>
            <w:r>
              <w:rPr>
                <w:rFonts w:ascii="Century Gothic" w:hAnsi="Century Gothic" w:eastAsia="Century Gothic"/>
                <w:b/>
                <w:i w:val="0"/>
                <w:caps w:val="0"/>
                <w:color w:val="FFFFFF"/>
                <w:sz w:val="17"/>
              </w:rPr>
              <w:t>Risque</w:t>
            </w:r>
          </w:p>
        </w:tc>
        <w:tc>
          <w:tcPr>
            <w:tcW w:type="dxa" w:w="7087"/>
            <w:shd w:val="clear" w:color="auto" w:fill="2F6EA6"/>
          </w:tcPr>
          <w:p>
            <w:pPr>
              <w:spacing w:before="60" w:after="60"/>
            </w:pPr>
            <w:r>
              <w:rPr>
                <w:rFonts w:ascii="Century Gothic" w:hAnsi="Century Gothic" w:eastAsia="Century Gothic"/>
                <w:b/>
                <w:i w:val="0"/>
                <w:caps w:val="0"/>
                <w:color w:val="FFFFFF"/>
                <w:sz w:val="17"/>
              </w:rPr>
              <w:t>Mesure</w:t>
            </w:r>
          </w:p>
        </w:tc>
      </w:tr>
      <w:tr>
        <w:tc>
          <w:tcPr>
            <w:tcW w:type="dxa" w:w="2551"/>
          </w:tcPr>
          <w:p>
            <w:pPr>
              <w:spacing w:before="50" w:after="50"/>
            </w:pPr>
            <w:r>
              <w:rPr>
                <w:rFonts w:ascii="Century Gothic" w:hAnsi="Century Gothic" w:eastAsia="Century Gothic"/>
                <w:b/>
                <w:i w:val="0"/>
                <w:caps w:val="0"/>
                <w:color w:val="2A6396"/>
                <w:sz w:val="18"/>
              </w:rPr>
              <w:t>Faible adoption</w:t>
            </w:r>
          </w:p>
        </w:tc>
        <w:tc>
          <w:tcPr>
            <w:tcW w:type="dxa" w:w="7087"/>
          </w:tcPr>
          <w:p>
            <w:pPr>
              <w:spacing w:before="50" w:after="50"/>
            </w:pPr>
            <w:r>
              <w:rPr>
                <w:rFonts w:ascii="Century Gothic" w:hAnsi="Century Gothic" w:eastAsia="Century Gothic"/>
                <w:b w:val="0"/>
                <w:i w:val="0"/>
                <w:caps w:val="0"/>
                <w:color w:val="121826"/>
                <w:sz w:val="18"/>
              </w:rPr>
              <w:t>Campagnes assorties de récompenses attractives et publiées à l'avance ; partenariat avec les opérateurs pour un accès à tarif réduit ; relais des établissements scolaires et universitaires, des maisons de jeunes et des médias publics.</w:t>
            </w:r>
          </w:p>
        </w:tc>
      </w:tr>
      <w:tr>
        <w:tc>
          <w:tcPr>
            <w:tcW w:type="dxa" w:w="2551"/>
            <w:shd w:val="clear" w:color="auto" w:fill="F3F7FA"/>
          </w:tcPr>
          <w:p>
            <w:pPr>
              <w:spacing w:before="50" w:after="50"/>
            </w:pPr>
            <w:r>
              <w:rPr>
                <w:rFonts w:ascii="Century Gothic" w:hAnsi="Century Gothic" w:eastAsia="Century Gothic"/>
                <w:b/>
                <w:i w:val="0"/>
                <w:caps w:val="0"/>
                <w:color w:val="2A6396"/>
                <w:sz w:val="18"/>
              </w:rPr>
              <w:t>Triche et usurpation</w:t>
            </w:r>
          </w:p>
        </w:tc>
        <w:tc>
          <w:tcPr>
            <w:tcW w:type="dxa" w:w="7087"/>
            <w:shd w:val="clear" w:color="auto" w:fill="F3F7FA"/>
          </w:tcPr>
          <w:p>
            <w:pPr>
              <w:spacing w:before="50" w:after="50"/>
            </w:pPr>
            <w:r>
              <w:rPr>
                <w:rFonts w:ascii="Century Gothic" w:hAnsi="Century Gothic" w:eastAsia="Century Gothic"/>
                <w:b w:val="0"/>
                <w:i w:val="0"/>
                <w:caps w:val="0"/>
                <w:color w:val="121826"/>
                <w:sz w:val="18"/>
              </w:rPr>
              <w:t>Finale supervisée pour toute récompense ; inscription par numéro vérifié ; tirage aléatoire ; limite de temps ; détection d'anomalies ; jury de validation.</w:t>
            </w:r>
          </w:p>
        </w:tc>
      </w:tr>
      <w:tr>
        <w:tc>
          <w:tcPr>
            <w:tcW w:type="dxa" w:w="2551"/>
          </w:tcPr>
          <w:p>
            <w:pPr>
              <w:spacing w:before="50" w:after="50"/>
            </w:pPr>
            <w:r>
              <w:rPr>
                <w:rFonts w:ascii="Century Gothic" w:hAnsi="Century Gothic" w:eastAsia="Century Gothic"/>
                <w:b/>
                <w:i w:val="0"/>
                <w:caps w:val="0"/>
                <w:color w:val="2A6396"/>
                <w:sz w:val="18"/>
              </w:rPr>
              <w:t>Qualité et exactitude des questions</w:t>
            </w:r>
          </w:p>
        </w:tc>
        <w:tc>
          <w:tcPr>
            <w:tcW w:type="dxa" w:w="7087"/>
          </w:tcPr>
          <w:p>
            <w:pPr>
              <w:spacing w:before="50" w:after="50"/>
            </w:pPr>
            <w:r>
              <w:rPr>
                <w:rFonts w:ascii="Century Gothic" w:hAnsi="Century Gothic" w:eastAsia="Century Gothic"/>
                <w:b w:val="0"/>
                <w:i w:val="0"/>
                <w:caps w:val="0"/>
                <w:color w:val="121826"/>
                <w:sz w:val="18"/>
              </w:rPr>
              <w:t>Modèle structuré, guide de rédaction, double validation (point focal puis Comité éditorial), explications sourcées, correction rapide en ligne.</w:t>
            </w:r>
          </w:p>
        </w:tc>
      </w:tr>
      <w:tr>
        <w:tc>
          <w:tcPr>
            <w:tcW w:type="dxa" w:w="2551"/>
            <w:shd w:val="clear" w:color="auto" w:fill="F3F7FA"/>
          </w:tcPr>
          <w:p>
            <w:pPr>
              <w:spacing w:before="50" w:after="50"/>
            </w:pPr>
            <w:r>
              <w:rPr>
                <w:rFonts w:ascii="Century Gothic" w:hAnsi="Century Gothic" w:eastAsia="Century Gothic"/>
                <w:b/>
                <w:i w:val="0"/>
                <w:caps w:val="0"/>
                <w:color w:val="2A6396"/>
                <w:sz w:val="18"/>
              </w:rPr>
              <w:t>Connectivité inégale</w:t>
            </w:r>
          </w:p>
        </w:tc>
        <w:tc>
          <w:tcPr>
            <w:tcW w:type="dxa" w:w="7087"/>
            <w:shd w:val="clear" w:color="auto" w:fill="F3F7FA"/>
          </w:tcPr>
          <w:p>
            <w:pPr>
              <w:spacing w:before="50" w:after="50"/>
            </w:pPr>
            <w:r>
              <w:rPr>
                <w:rFonts w:ascii="Century Gothic" w:hAnsi="Century Gothic" w:eastAsia="Century Gothic"/>
                <w:b w:val="0"/>
                <w:i w:val="0"/>
                <w:caps w:val="0"/>
                <w:color w:val="121826"/>
                <w:sz w:val="18"/>
              </w:rPr>
              <w:t>Application très légère, version hors ligne, canal SMS/USSD en phase 2, finales en présence dans les préfectures.</w:t>
            </w:r>
          </w:p>
        </w:tc>
      </w:tr>
      <w:tr>
        <w:tc>
          <w:tcPr>
            <w:tcW w:type="dxa" w:w="2551"/>
          </w:tcPr>
          <w:p>
            <w:pPr>
              <w:spacing w:before="50" w:after="50"/>
            </w:pPr>
            <w:r>
              <w:rPr>
                <w:rFonts w:ascii="Century Gothic" w:hAnsi="Century Gothic" w:eastAsia="Century Gothic"/>
                <w:b/>
                <w:i w:val="0"/>
                <w:caps w:val="0"/>
                <w:color w:val="2A6396"/>
                <w:sz w:val="18"/>
              </w:rPr>
              <w:t>Pérennité</w:t>
            </w:r>
          </w:p>
        </w:tc>
        <w:tc>
          <w:tcPr>
            <w:tcW w:type="dxa" w:w="7087"/>
          </w:tcPr>
          <w:p>
            <w:pPr>
              <w:spacing w:before="50" w:after="50"/>
            </w:pPr>
            <w:r>
              <w:rPr>
                <w:rFonts w:ascii="Century Gothic" w:hAnsi="Century Gothic" w:eastAsia="Century Gothic"/>
                <w:b w:val="0"/>
                <w:i w:val="0"/>
                <w:caps w:val="0"/>
                <w:color w:val="121826"/>
                <w:sz w:val="18"/>
              </w:rPr>
              <w:t>Code propriété de l'État, équipe locale formée, transfert de compétences, budget d'exploitation identifié dès l'année 1.</w:t>
            </w:r>
          </w:p>
        </w:tc>
      </w:tr>
      <w:tr>
        <w:tc>
          <w:tcPr>
            <w:tcW w:type="dxa" w:w="2551"/>
            <w:shd w:val="clear" w:color="auto" w:fill="F3F7FA"/>
          </w:tcPr>
          <w:p>
            <w:pPr>
              <w:spacing w:before="50" w:after="50"/>
            </w:pPr>
            <w:r>
              <w:rPr>
                <w:rFonts w:ascii="Century Gothic" w:hAnsi="Century Gothic" w:eastAsia="Century Gothic"/>
                <w:b/>
                <w:i w:val="0"/>
                <w:caps w:val="0"/>
                <w:color w:val="2A6396"/>
                <w:sz w:val="18"/>
              </w:rPr>
              <w:t>Protection des données</w:t>
            </w:r>
          </w:p>
        </w:tc>
        <w:tc>
          <w:tcPr>
            <w:tcW w:type="dxa" w:w="7087"/>
            <w:shd w:val="clear" w:color="auto" w:fill="F3F7FA"/>
          </w:tcPr>
          <w:p>
            <w:pPr>
              <w:spacing w:before="50" w:after="50"/>
            </w:pPr>
            <w:r>
              <w:rPr>
                <w:rFonts w:ascii="Century Gothic" w:hAnsi="Century Gothic" w:eastAsia="Century Gothic"/>
                <w:b w:val="0"/>
                <w:i w:val="0"/>
                <w:caps w:val="0"/>
                <w:color w:val="121826"/>
                <w:sz w:val="18"/>
              </w:rPr>
              <w:t>Conformité à la Loi L/2016/037/AN, minimisation des données, consentement, chiffrement, audit indépendant, droit d'accès et de suppression.</w:t>
            </w:r>
          </w:p>
        </w:tc>
      </w:tr>
    </w:tbl>
    <w:p>
      <w:pPr>
        <w:spacing w:after="40"/>
      </w:pPr>
    </w:p>
    <w:p>
      <w:pPr>
        <w:keepNext/>
        <w:spacing w:before="280" w:after="120"/>
        <w:pBdr>
          <w:bottom w:val="single" w:sz="8" w:color="E8A858" w:space="2"/>
        </w:pBdr>
      </w:pPr>
      <w:r>
        <w:rPr>
          <w:rFonts w:ascii="Century Gothic" w:hAnsi="Century Gothic" w:eastAsia="Century Gothic"/>
          <w:b/>
          <w:i w:val="0"/>
          <w:caps w:val="0"/>
          <w:color w:val="2A6396"/>
          <w:sz w:val="25"/>
        </w:rPr>
        <w:t>14. DÉCISIONS DEMANDÉES</w:t>
      </w:r>
    </w:p>
    <w:p>
      <w:pPr>
        <w:spacing w:before="0" w:after="100"/>
        <w:ind w:left="454" w:hanging="340"/>
      </w:pPr>
      <w:r>
        <w:rPr>
          <w:rFonts w:ascii="Century Gothic" w:hAnsi="Century Gothic" w:eastAsia="Century Gothic"/>
          <w:b/>
          <w:i w:val="0"/>
          <w:caps w:val="0"/>
          <w:color w:val="2A6396"/>
          <w:sz w:val="21"/>
        </w:rPr>
        <w:t xml:space="preserve">1.  </w:t>
      </w:r>
      <w:r>
        <w:rPr>
          <w:rFonts w:ascii="Century Gothic" w:hAnsi="Century Gothic" w:eastAsia="Century Gothic"/>
          <w:b w:val="0"/>
          <w:i w:val="0"/>
          <w:caps w:val="0"/>
          <w:color w:val="121826"/>
          <w:sz w:val="21"/>
        </w:rPr>
        <w:t>Approuver le projet « Government Quiz Guinée » comme plateforme nationale de quiz éducatifs et d'opportunités pour la jeunesse, dans le cadre du pilier capital humain du Programme Simandou 2040.</w:t>
      </w:r>
    </w:p>
    <w:p>
      <w:pPr>
        <w:spacing w:before="0" w:after="100"/>
        <w:ind w:left="454" w:hanging="340"/>
      </w:pPr>
      <w:r>
        <w:rPr>
          <w:rFonts w:ascii="Century Gothic" w:hAnsi="Century Gothic" w:eastAsia="Century Gothic"/>
          <w:b/>
          <w:i w:val="0"/>
          <w:caps w:val="0"/>
          <w:color w:val="2A6396"/>
          <w:sz w:val="21"/>
        </w:rPr>
        <w:t xml:space="preserve">2.  </w:t>
      </w:r>
      <w:r>
        <w:rPr>
          <w:rFonts w:ascii="Century Gothic" w:hAnsi="Century Gothic" w:eastAsia="Century Gothic"/>
          <w:b w:val="0"/>
          <w:i w:val="0"/>
          <w:caps w:val="0"/>
          <w:color w:val="121826"/>
          <w:sz w:val="21"/>
        </w:rPr>
        <w:t>Désigner le Secrétariat Général du Gouvernement maître d'ouvrage du projet et président du comité de pilotage.</w:t>
      </w:r>
    </w:p>
    <w:p>
      <w:pPr>
        <w:spacing w:before="0" w:after="100"/>
        <w:ind w:left="454" w:hanging="340"/>
      </w:pPr>
      <w:r>
        <w:rPr>
          <w:rFonts w:ascii="Century Gothic" w:hAnsi="Century Gothic" w:eastAsia="Century Gothic"/>
          <w:b/>
          <w:i w:val="0"/>
          <w:caps w:val="0"/>
          <w:color w:val="2A6396"/>
          <w:sz w:val="21"/>
        </w:rPr>
        <w:t xml:space="preserve">3.  </w:t>
      </w:r>
      <w:r>
        <w:rPr>
          <w:rFonts w:ascii="Century Gothic" w:hAnsi="Century Gothic" w:eastAsia="Century Gothic"/>
          <w:b w:val="0"/>
          <w:i w:val="0"/>
          <w:caps w:val="0"/>
          <w:color w:val="121826"/>
          <w:sz w:val="21"/>
        </w:rPr>
        <w:t>Autoriser un budget de 370 000 000 GNF pour la construction de la plateforme et douze mois d'exploitation, jusqu'à un million d'utilisateurs par mois.</w:t>
      </w:r>
    </w:p>
    <w:p>
      <w:pPr>
        <w:spacing w:before="0" w:after="100"/>
        <w:ind w:left="454" w:hanging="340"/>
      </w:pPr>
      <w:r>
        <w:rPr>
          <w:rFonts w:ascii="Century Gothic" w:hAnsi="Century Gothic" w:eastAsia="Century Gothic"/>
          <w:b/>
          <w:i w:val="0"/>
          <w:caps w:val="0"/>
          <w:color w:val="2A6396"/>
          <w:sz w:val="21"/>
        </w:rPr>
        <w:t xml:space="preserve">4.  </w:t>
      </w:r>
      <w:r>
        <w:rPr>
          <w:rFonts w:ascii="Century Gothic" w:hAnsi="Century Gothic" w:eastAsia="Century Gothic"/>
          <w:b w:val="0"/>
          <w:i w:val="0"/>
          <w:caps w:val="0"/>
          <w:color w:val="121826"/>
          <w:sz w:val="21"/>
        </w:rPr>
        <w:t>Instruire chaque ministère, agence et société d'État de désigner un point focal dans les trente jours et de publier au moins un quiz au cours de la première année.</w:t>
      </w:r>
    </w:p>
    <w:p>
      <w:pPr>
        <w:spacing w:before="0" w:after="100"/>
        <w:ind w:left="454" w:hanging="340"/>
      </w:pPr>
      <w:r>
        <w:rPr>
          <w:rFonts w:ascii="Century Gothic" w:hAnsi="Century Gothic" w:eastAsia="Century Gothic"/>
          <w:b/>
          <w:i w:val="0"/>
          <w:caps w:val="0"/>
          <w:color w:val="2A6396"/>
          <w:sz w:val="21"/>
        </w:rPr>
        <w:t xml:space="preserve">5.  </w:t>
      </w:r>
      <w:r>
        <w:rPr>
          <w:rFonts w:ascii="Century Gothic" w:hAnsi="Century Gothic" w:eastAsia="Century Gothic"/>
          <w:b w:val="0"/>
          <w:i w:val="0"/>
          <w:caps w:val="0"/>
          <w:color w:val="121826"/>
          <w:sz w:val="21"/>
        </w:rPr>
        <w:t>Créer le Fonds du Mérite, alimenté par les institutions et les partenaires (bourses, formations, stages, emplois), et instituer une cérémonie annuelle de remise des récompenses présidée par le Chef de l'État lors de la Semaine de l'Indépendance.</w:t>
      </w:r>
    </w:p>
    <w:p>
      <w:pPr>
        <w:keepNext/>
        <w:spacing w:before="280" w:after="120"/>
        <w:pBdr>
          <w:bottom w:val="single" w:sz="8" w:color="E8A858" w:space="2"/>
        </w:pBdr>
      </w:pPr>
      <w:r>
        <w:rPr>
          <w:rFonts w:ascii="Century Gothic" w:hAnsi="Century Gothic" w:eastAsia="Century Gothic"/>
          <w:b/>
          <w:i w:val="0"/>
          <w:caps w:val="0"/>
          <w:color w:val="2A6396"/>
          <w:sz w:val="25"/>
        </w:rPr>
        <w:t>CONCLUSION</w:t>
      </w:r>
    </w:p>
    <w:p>
      <w:pPr>
        <w:spacing w:before="0" w:after="120" w:line="276" w:lineRule="auto"/>
        <w:jc w:val="both"/>
      </w:pPr>
      <w:r>
        <w:rPr>
          <w:rFonts w:ascii="Century Gothic" w:hAnsi="Century Gothic" w:eastAsia="Century Gothic"/>
          <w:b w:val="0"/>
          <w:i w:val="0"/>
          <w:caps w:val="0"/>
          <w:color w:val="121826"/>
          <w:sz w:val="20"/>
        </w:rPr>
        <w:t>Le pilote de l'An 68 a montré qu'en quelques jours, avec des moyens modestes, l'État peut parler à sa jeunesse dans un format qu'elle aime. La plateforme nationale transforme cet essai en une politique publique durable : chaque institution enseigne, chaque jeune apprend et se mesure, et le mérite ouvre des portes. L'Indépendance en héritage, la jeunesse en marche, Simandou 2040 en ligne de mire : Government Quiz Guinée donne à cette devise un outil concret, à la portée de chaque téléphone du pays.</w:t>
      </w:r>
    </w:p>
    <w:p>
      <w:pPr>
        <w:keepNext/>
        <w:spacing w:before="280" w:after="120"/>
        <w:pBdr>
          <w:bottom w:val="single" w:sz="8" w:color="E8A858" w:space="2"/>
        </w:pBdr>
      </w:pPr>
      <w:r>
        <w:rPr>
          <w:rFonts w:ascii="Century Gothic" w:hAnsi="Century Gothic" w:eastAsia="Century Gothic"/>
          <w:b/>
          <w:i w:val="0"/>
          <w:caps w:val="0"/>
          <w:color w:val="2A6396"/>
          <w:sz w:val="25"/>
        </w:rPr>
        <w:t>ANNEXE A · MODÈLE DE FICHIER DE QUESTIONS</w:t>
      </w:r>
    </w:p>
    <w:p>
      <w:pPr>
        <w:spacing w:before="0" w:after="120" w:line="276" w:lineRule="auto"/>
        <w:jc w:val="both"/>
      </w:pPr>
      <w:r>
        <w:rPr>
          <w:rFonts w:ascii="Century Gothic" w:hAnsi="Century Gothic" w:eastAsia="Century Gothic"/>
          <w:b w:val="0"/>
          <w:i w:val="0"/>
          <w:caps w:val="0"/>
          <w:color w:val="121826"/>
          <w:sz w:val="20"/>
        </w:rPr>
        <w:t>Une ligne par question. Le fichier peut être rempli dans Excel, Google Sheets ou Word. Le portail vérifie automatiquement les colonnes, signale les lignes incomplètes et affiche le quiz avant publication.</w:t>
      </w:r>
    </w:p>
    <w:tbl>
      <w:tblPr>
        <w:tblW w:type="auto" w:w="0"/>
        <w:tblLayout w:type="fixed"/>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2268"/>
        <w:gridCol w:w="4252"/>
        <w:gridCol w:w="3118"/>
      </w:tblGrid>
      <w:tr>
        <w:tc>
          <w:tcPr>
            <w:tcW w:type="dxa" w:w="2268"/>
            <w:shd w:val="clear" w:color="auto" w:fill="2F6EA6"/>
          </w:tcPr>
          <w:p>
            <w:pPr>
              <w:spacing w:before="60" w:after="60"/>
            </w:pPr>
            <w:r>
              <w:rPr>
                <w:rFonts w:ascii="Century Gothic" w:hAnsi="Century Gothic" w:eastAsia="Century Gothic"/>
                <w:b/>
                <w:i w:val="0"/>
                <w:caps w:val="0"/>
                <w:color w:val="FFFFFF"/>
                <w:sz w:val="17"/>
              </w:rPr>
              <w:t>Colonne</w:t>
            </w:r>
          </w:p>
        </w:tc>
        <w:tc>
          <w:tcPr>
            <w:tcW w:type="dxa" w:w="4252"/>
            <w:shd w:val="clear" w:color="auto" w:fill="2F6EA6"/>
          </w:tcPr>
          <w:p>
            <w:pPr>
              <w:spacing w:before="60" w:after="60"/>
            </w:pPr>
            <w:r>
              <w:rPr>
                <w:rFonts w:ascii="Century Gothic" w:hAnsi="Century Gothic" w:eastAsia="Century Gothic"/>
                <w:b/>
                <w:i w:val="0"/>
                <w:caps w:val="0"/>
                <w:color w:val="FFFFFF"/>
                <w:sz w:val="17"/>
              </w:rPr>
              <w:t>Contenu</w:t>
            </w:r>
          </w:p>
        </w:tc>
        <w:tc>
          <w:tcPr>
            <w:tcW w:type="dxa" w:w="3118"/>
            <w:shd w:val="clear" w:color="auto" w:fill="2F6EA6"/>
          </w:tcPr>
          <w:p>
            <w:pPr>
              <w:spacing w:before="60" w:after="60"/>
            </w:pPr>
            <w:r>
              <w:rPr>
                <w:rFonts w:ascii="Century Gothic" w:hAnsi="Century Gothic" w:eastAsia="Century Gothic"/>
                <w:b/>
                <w:i w:val="0"/>
                <w:caps w:val="0"/>
                <w:color w:val="FFFFFF"/>
                <w:sz w:val="17"/>
              </w:rPr>
              <w:t>Exemple</w:t>
            </w:r>
          </w:p>
        </w:tc>
      </w:tr>
      <w:tr>
        <w:tc>
          <w:tcPr>
            <w:tcW w:type="dxa" w:w="2268"/>
          </w:tcPr>
          <w:p>
            <w:pPr>
              <w:spacing w:before="50" w:after="50"/>
            </w:pPr>
            <w:r>
              <w:rPr>
                <w:rFonts w:ascii="Century Gothic" w:hAnsi="Century Gothic" w:eastAsia="Century Gothic"/>
                <w:b/>
                <w:i w:val="0"/>
                <w:caps w:val="0"/>
                <w:color w:val="2A6396"/>
                <w:sz w:val="18"/>
              </w:rPr>
              <w:t>Section</w:t>
            </w:r>
          </w:p>
        </w:tc>
        <w:tc>
          <w:tcPr>
            <w:tcW w:type="dxa" w:w="4252"/>
          </w:tcPr>
          <w:p>
            <w:pPr>
              <w:spacing w:before="50" w:after="50"/>
            </w:pPr>
            <w:r>
              <w:rPr>
                <w:rFonts w:ascii="Century Gothic" w:hAnsi="Century Gothic" w:eastAsia="Century Gothic"/>
                <w:b w:val="0"/>
                <w:i w:val="0"/>
                <w:caps w:val="0"/>
                <w:color w:val="121826"/>
                <w:sz w:val="18"/>
              </w:rPr>
              <w:t>Lettre ou titre de la section (4 sections de 10 questions recommandées)</w:t>
            </w:r>
          </w:p>
        </w:tc>
        <w:tc>
          <w:tcPr>
            <w:tcW w:type="dxa" w:w="3118"/>
          </w:tcPr>
          <w:p>
            <w:pPr>
              <w:spacing w:before="50" w:after="50"/>
            </w:pPr>
            <w:r>
              <w:rPr>
                <w:rFonts w:ascii="Century Gothic" w:hAnsi="Century Gothic" w:eastAsia="Century Gothic"/>
                <w:b w:val="0"/>
                <w:i w:val="0"/>
                <w:caps w:val="0"/>
                <w:color w:val="121826"/>
                <w:sz w:val="18"/>
              </w:rPr>
              <w:t>A · L'impôt citoyen</w:t>
            </w:r>
          </w:p>
        </w:tc>
      </w:tr>
      <w:tr>
        <w:tc>
          <w:tcPr>
            <w:tcW w:type="dxa" w:w="2268"/>
            <w:shd w:val="clear" w:color="auto" w:fill="F3F7FA"/>
          </w:tcPr>
          <w:p>
            <w:pPr>
              <w:spacing w:before="50" w:after="50"/>
            </w:pPr>
            <w:r>
              <w:rPr>
                <w:rFonts w:ascii="Century Gothic" w:hAnsi="Century Gothic" w:eastAsia="Century Gothic"/>
                <w:b/>
                <w:i w:val="0"/>
                <w:caps w:val="0"/>
                <w:color w:val="2A6396"/>
                <w:sz w:val="18"/>
              </w:rPr>
              <w:t>Question</w:t>
            </w:r>
          </w:p>
        </w:tc>
        <w:tc>
          <w:tcPr>
            <w:tcW w:type="dxa" w:w="4252"/>
            <w:shd w:val="clear" w:color="auto" w:fill="F3F7FA"/>
          </w:tcPr>
          <w:p>
            <w:pPr>
              <w:spacing w:before="50" w:after="50"/>
            </w:pPr>
            <w:r>
              <w:rPr>
                <w:rFonts w:ascii="Century Gothic" w:hAnsi="Century Gothic" w:eastAsia="Century Gothic"/>
                <w:b w:val="0"/>
                <w:i w:val="0"/>
                <w:caps w:val="0"/>
                <w:color w:val="121826"/>
                <w:sz w:val="18"/>
              </w:rPr>
              <w:t>La question, en une phrase</w:t>
            </w:r>
          </w:p>
        </w:tc>
        <w:tc>
          <w:tcPr>
            <w:tcW w:type="dxa" w:w="3118"/>
            <w:shd w:val="clear" w:color="auto" w:fill="F3F7FA"/>
          </w:tcPr>
          <w:p>
            <w:pPr>
              <w:spacing w:before="50" w:after="50"/>
            </w:pPr>
            <w:r>
              <w:rPr>
                <w:rFonts w:ascii="Century Gothic" w:hAnsi="Century Gothic" w:eastAsia="Century Gothic"/>
                <w:b w:val="0"/>
                <w:i w:val="0"/>
                <w:caps w:val="0"/>
                <w:color w:val="121826"/>
                <w:sz w:val="18"/>
              </w:rPr>
              <w:t>À quoi sert l'impôt sur le revenu ?</w:t>
            </w:r>
          </w:p>
        </w:tc>
      </w:tr>
      <w:tr>
        <w:tc>
          <w:tcPr>
            <w:tcW w:type="dxa" w:w="2268"/>
          </w:tcPr>
          <w:p>
            <w:pPr>
              <w:spacing w:before="50" w:after="50"/>
            </w:pPr>
            <w:r>
              <w:rPr>
                <w:rFonts w:ascii="Century Gothic" w:hAnsi="Century Gothic" w:eastAsia="Century Gothic"/>
                <w:b/>
                <w:i w:val="0"/>
                <w:caps w:val="0"/>
                <w:color w:val="2A6396"/>
                <w:sz w:val="18"/>
              </w:rPr>
              <w:t>Proposition A / B / C / D</w:t>
            </w:r>
          </w:p>
        </w:tc>
        <w:tc>
          <w:tcPr>
            <w:tcW w:type="dxa" w:w="4252"/>
          </w:tcPr>
          <w:p>
            <w:pPr>
              <w:spacing w:before="50" w:after="50"/>
            </w:pPr>
            <w:r>
              <w:rPr>
                <w:rFonts w:ascii="Century Gothic" w:hAnsi="Century Gothic" w:eastAsia="Century Gothic"/>
                <w:b w:val="0"/>
                <w:i w:val="0"/>
                <w:caps w:val="0"/>
                <w:color w:val="121826"/>
                <w:sz w:val="18"/>
              </w:rPr>
              <w:t>Quatre propositions, une seule correcte</w:t>
            </w:r>
          </w:p>
        </w:tc>
        <w:tc>
          <w:tcPr>
            <w:tcW w:type="dxa" w:w="3118"/>
          </w:tcPr>
          <w:p>
            <w:pPr>
              <w:spacing w:before="50" w:after="50"/>
            </w:pPr>
            <w:r>
              <w:rPr>
                <w:rFonts w:ascii="Century Gothic" w:hAnsi="Century Gothic" w:eastAsia="Century Gothic"/>
                <w:b w:val="0"/>
                <w:i w:val="0"/>
                <w:caps w:val="0"/>
                <w:color w:val="121826"/>
                <w:sz w:val="18"/>
              </w:rPr>
              <w:t>…</w:t>
            </w:r>
          </w:p>
        </w:tc>
      </w:tr>
      <w:tr>
        <w:tc>
          <w:tcPr>
            <w:tcW w:type="dxa" w:w="2268"/>
            <w:shd w:val="clear" w:color="auto" w:fill="F3F7FA"/>
          </w:tcPr>
          <w:p>
            <w:pPr>
              <w:spacing w:before="50" w:after="50"/>
            </w:pPr>
            <w:r>
              <w:rPr>
                <w:rFonts w:ascii="Century Gothic" w:hAnsi="Century Gothic" w:eastAsia="Century Gothic"/>
                <w:b/>
                <w:i w:val="0"/>
                <w:caps w:val="0"/>
                <w:color w:val="2A6396"/>
                <w:sz w:val="18"/>
              </w:rPr>
              <w:t>Bonne réponse</w:t>
            </w:r>
          </w:p>
        </w:tc>
        <w:tc>
          <w:tcPr>
            <w:tcW w:type="dxa" w:w="4252"/>
            <w:shd w:val="clear" w:color="auto" w:fill="F3F7FA"/>
          </w:tcPr>
          <w:p>
            <w:pPr>
              <w:spacing w:before="50" w:after="50"/>
            </w:pPr>
            <w:r>
              <w:rPr>
                <w:rFonts w:ascii="Century Gothic" w:hAnsi="Century Gothic" w:eastAsia="Century Gothic"/>
                <w:b w:val="0"/>
                <w:i w:val="0"/>
                <w:caps w:val="0"/>
                <w:color w:val="121826"/>
                <w:sz w:val="18"/>
              </w:rPr>
              <w:t>A, B, C ou D</w:t>
            </w:r>
          </w:p>
        </w:tc>
        <w:tc>
          <w:tcPr>
            <w:tcW w:type="dxa" w:w="3118"/>
            <w:shd w:val="clear" w:color="auto" w:fill="F3F7FA"/>
          </w:tcPr>
          <w:p>
            <w:pPr>
              <w:spacing w:before="50" w:after="50"/>
            </w:pPr>
            <w:r>
              <w:rPr>
                <w:rFonts w:ascii="Century Gothic" w:hAnsi="Century Gothic" w:eastAsia="Century Gothic"/>
                <w:b w:val="0"/>
                <w:i w:val="0"/>
                <w:caps w:val="0"/>
                <w:color w:val="121826"/>
                <w:sz w:val="18"/>
              </w:rPr>
              <w:t>C</w:t>
            </w:r>
          </w:p>
        </w:tc>
      </w:tr>
      <w:tr>
        <w:tc>
          <w:tcPr>
            <w:tcW w:type="dxa" w:w="2268"/>
          </w:tcPr>
          <w:p>
            <w:pPr>
              <w:spacing w:before="50" w:after="50"/>
            </w:pPr>
            <w:r>
              <w:rPr>
                <w:rFonts w:ascii="Century Gothic" w:hAnsi="Century Gothic" w:eastAsia="Century Gothic"/>
                <w:b/>
                <w:i w:val="0"/>
                <w:caps w:val="0"/>
                <w:color w:val="2A6396"/>
                <w:sz w:val="18"/>
              </w:rPr>
              <w:t>Explication</w:t>
            </w:r>
          </w:p>
        </w:tc>
        <w:tc>
          <w:tcPr>
            <w:tcW w:type="dxa" w:w="4252"/>
          </w:tcPr>
          <w:p>
            <w:pPr>
              <w:spacing w:before="50" w:after="50"/>
            </w:pPr>
            <w:r>
              <w:rPr>
                <w:rFonts w:ascii="Century Gothic" w:hAnsi="Century Gothic" w:eastAsia="Century Gothic"/>
                <w:b w:val="0"/>
                <w:i w:val="0"/>
                <w:caps w:val="0"/>
                <w:color w:val="121826"/>
                <w:sz w:val="18"/>
              </w:rPr>
              <w:t>Une ou deux phrases affichées après la réponse, avec la source si possible</w:t>
            </w:r>
          </w:p>
        </w:tc>
        <w:tc>
          <w:tcPr>
            <w:tcW w:type="dxa" w:w="3118"/>
          </w:tcPr>
          <w:p>
            <w:pPr>
              <w:spacing w:before="50" w:after="50"/>
            </w:pPr>
            <w:r>
              <w:rPr>
                <w:rFonts w:ascii="Century Gothic" w:hAnsi="Century Gothic" w:eastAsia="Century Gothic"/>
                <w:b w:val="0"/>
                <w:i w:val="0"/>
                <w:caps w:val="0"/>
                <w:color w:val="121826"/>
                <w:sz w:val="18"/>
              </w:rPr>
              <w:t>L'impôt finance les services publics : écoles, hôpitaux, routes…</w:t>
            </w:r>
          </w:p>
        </w:tc>
      </w:tr>
      <w:tr>
        <w:tc>
          <w:tcPr>
            <w:tcW w:type="dxa" w:w="2268"/>
            <w:shd w:val="clear" w:color="auto" w:fill="F3F7FA"/>
          </w:tcPr>
          <w:p>
            <w:pPr>
              <w:spacing w:before="50" w:after="50"/>
            </w:pPr>
            <w:r>
              <w:rPr>
                <w:rFonts w:ascii="Century Gothic" w:hAnsi="Century Gothic" w:eastAsia="Century Gothic"/>
                <w:b/>
                <w:i w:val="0"/>
                <w:caps w:val="0"/>
                <w:color w:val="2A6396"/>
                <w:sz w:val="18"/>
              </w:rPr>
              <w:t>Niveau (facultatif)</w:t>
            </w:r>
          </w:p>
        </w:tc>
        <w:tc>
          <w:tcPr>
            <w:tcW w:type="dxa" w:w="4252"/>
            <w:shd w:val="clear" w:color="auto" w:fill="F3F7FA"/>
          </w:tcPr>
          <w:p>
            <w:pPr>
              <w:spacing w:before="50" w:after="50"/>
            </w:pPr>
            <w:r>
              <w:rPr>
                <w:rFonts w:ascii="Century Gothic" w:hAnsi="Century Gothic" w:eastAsia="Century Gothic"/>
                <w:b w:val="0"/>
                <w:i w:val="0"/>
                <w:caps w:val="0"/>
                <w:color w:val="121826"/>
                <w:sz w:val="18"/>
              </w:rPr>
              <w:t>Collège, lycée, université, grand public</w:t>
            </w:r>
          </w:p>
        </w:tc>
        <w:tc>
          <w:tcPr>
            <w:tcW w:type="dxa" w:w="3118"/>
            <w:shd w:val="clear" w:color="auto" w:fill="F3F7FA"/>
          </w:tcPr>
          <w:p>
            <w:pPr>
              <w:spacing w:before="50" w:after="50"/>
            </w:pPr>
            <w:r>
              <w:rPr>
                <w:rFonts w:ascii="Century Gothic" w:hAnsi="Century Gothic" w:eastAsia="Century Gothic"/>
                <w:b w:val="0"/>
                <w:i w:val="0"/>
                <w:caps w:val="0"/>
                <w:color w:val="121826"/>
                <w:sz w:val="18"/>
              </w:rPr>
              <w:t>Grand public</w:t>
            </w:r>
          </w:p>
        </w:tc>
      </w:tr>
    </w:tbl>
    <w:p>
      <w:pPr>
        <w:spacing w:after="40"/>
      </w:pPr>
    </w:p>
    <w:p>
      <w:pPr>
        <w:keepNext/>
        <w:spacing w:before="280" w:after="120"/>
        <w:pBdr>
          <w:bottom w:val="single" w:sz="8" w:color="E8A858" w:space="2"/>
        </w:pBdr>
      </w:pPr>
      <w:r>
        <w:rPr>
          <w:rFonts w:ascii="Century Gothic" w:hAnsi="Century Gothic" w:eastAsia="Century Gothic"/>
          <w:b/>
          <w:i w:val="0"/>
          <w:caps w:val="0"/>
          <w:color w:val="2A6396"/>
          <w:sz w:val="25"/>
        </w:rPr>
        <w:t>ANNEXE B · EXEMPLES DE CAMPAGNES PAR INSTITUTION</w:t>
      </w:r>
    </w:p>
    <w:p>
      <w:pPr>
        <w:spacing w:before="0" w:after="120" w:line="276" w:lineRule="auto"/>
        <w:jc w:val="both"/>
      </w:pPr>
      <w:r>
        <w:rPr>
          <w:rFonts w:ascii="Century Gothic" w:hAnsi="Century Gothic" w:eastAsia="Century Gothic"/>
          <w:b w:val="0"/>
          <w:i w:val="0"/>
          <w:caps w:val="0"/>
          <w:color w:val="121826"/>
          <w:sz w:val="20"/>
        </w:rPr>
        <w:t>Chaque institution choisit ses thèmes et ses récompenses ; les exemples ci-dessous illustrent la diversité possible dès la première année.</w:t>
      </w:r>
    </w:p>
    <w:tbl>
      <w:tblPr>
        <w:tblW w:type="auto" w:w="0"/>
        <w:tblLayout w:type="fixed"/>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3175"/>
        <w:gridCol w:w="3175"/>
        <w:gridCol w:w="3288"/>
      </w:tblGrid>
      <w:tr>
        <w:tc>
          <w:tcPr>
            <w:tcW w:type="dxa" w:w="3175"/>
            <w:shd w:val="clear" w:color="auto" w:fill="2F6EA6"/>
          </w:tcPr>
          <w:p>
            <w:pPr>
              <w:spacing w:before="60" w:after="60"/>
            </w:pPr>
            <w:r>
              <w:rPr>
                <w:rFonts w:ascii="Century Gothic" w:hAnsi="Century Gothic" w:eastAsia="Century Gothic"/>
                <w:b/>
                <w:i w:val="0"/>
                <w:caps w:val="0"/>
                <w:color w:val="FFFFFF"/>
                <w:sz w:val="17"/>
              </w:rPr>
              <w:t>Institution</w:t>
            </w:r>
          </w:p>
        </w:tc>
        <w:tc>
          <w:tcPr>
            <w:tcW w:type="dxa" w:w="3175"/>
            <w:shd w:val="clear" w:color="auto" w:fill="2F6EA6"/>
          </w:tcPr>
          <w:p>
            <w:pPr>
              <w:spacing w:before="60" w:after="60"/>
            </w:pPr>
            <w:r>
              <w:rPr>
                <w:rFonts w:ascii="Century Gothic" w:hAnsi="Century Gothic" w:eastAsia="Century Gothic"/>
                <w:b/>
                <w:i w:val="0"/>
                <w:caps w:val="0"/>
                <w:color w:val="FFFFFF"/>
                <w:sz w:val="17"/>
              </w:rPr>
              <w:t>Thème de quiz</w:t>
            </w:r>
          </w:p>
        </w:tc>
        <w:tc>
          <w:tcPr>
            <w:tcW w:type="dxa" w:w="3288"/>
            <w:shd w:val="clear" w:color="auto" w:fill="2F6EA6"/>
          </w:tcPr>
          <w:p>
            <w:pPr>
              <w:spacing w:before="60" w:after="60"/>
            </w:pPr>
            <w:r>
              <w:rPr>
                <w:rFonts w:ascii="Century Gothic" w:hAnsi="Century Gothic" w:eastAsia="Century Gothic"/>
                <w:b/>
                <w:i w:val="0"/>
                <w:caps w:val="0"/>
                <w:color w:val="FFFFFF"/>
                <w:sz w:val="17"/>
              </w:rPr>
              <w:t>Récompenses possibles</w:t>
            </w:r>
          </w:p>
        </w:tc>
      </w:tr>
      <w:tr>
        <w:tc>
          <w:tcPr>
            <w:tcW w:type="dxa" w:w="3175"/>
          </w:tcPr>
          <w:p>
            <w:pPr>
              <w:spacing w:before="50" w:after="50"/>
            </w:pPr>
            <w:r>
              <w:rPr>
                <w:rFonts w:ascii="Century Gothic" w:hAnsi="Century Gothic" w:eastAsia="Century Gothic"/>
                <w:b/>
                <w:i w:val="0"/>
                <w:caps w:val="0"/>
                <w:color w:val="2A6396"/>
                <w:sz w:val="18"/>
              </w:rPr>
              <w:t>Ministère du Budget / Économie et Finances</w:t>
            </w:r>
          </w:p>
        </w:tc>
        <w:tc>
          <w:tcPr>
            <w:tcW w:type="dxa" w:w="3175"/>
          </w:tcPr>
          <w:p>
            <w:pPr>
              <w:spacing w:before="50" w:after="50"/>
            </w:pPr>
            <w:r>
              <w:rPr>
                <w:rFonts w:ascii="Century Gothic" w:hAnsi="Century Gothic" w:eastAsia="Century Gothic"/>
                <w:b w:val="0"/>
                <w:i w:val="0"/>
                <w:caps w:val="0"/>
                <w:color w:val="121826"/>
                <w:sz w:val="18"/>
              </w:rPr>
              <w:t>« Le budget de l'État et l'impôt citoyen »</w:t>
            </w:r>
          </w:p>
        </w:tc>
        <w:tc>
          <w:tcPr>
            <w:tcW w:type="dxa" w:w="3288"/>
          </w:tcPr>
          <w:p>
            <w:pPr>
              <w:spacing w:before="50" w:after="50"/>
            </w:pPr>
            <w:r>
              <w:rPr>
                <w:rFonts w:ascii="Century Gothic" w:hAnsi="Century Gothic" w:eastAsia="Century Gothic"/>
                <w:b w:val="0"/>
                <w:i w:val="0"/>
                <w:caps w:val="0"/>
                <w:color w:val="121826"/>
                <w:sz w:val="18"/>
              </w:rPr>
              <w:t>Stages à la DGI, à la DGD et au Trésor ; bourses en finances publiques</w:t>
            </w:r>
          </w:p>
        </w:tc>
      </w:tr>
      <w:tr>
        <w:tc>
          <w:tcPr>
            <w:tcW w:type="dxa" w:w="3175"/>
            <w:shd w:val="clear" w:color="auto" w:fill="F3F7FA"/>
          </w:tcPr>
          <w:p>
            <w:pPr>
              <w:spacing w:before="50" w:after="50"/>
            </w:pPr>
            <w:r>
              <w:rPr>
                <w:rFonts w:ascii="Century Gothic" w:hAnsi="Century Gothic" w:eastAsia="Century Gothic"/>
                <w:b/>
                <w:i w:val="0"/>
                <w:caps w:val="0"/>
                <w:color w:val="2A6396"/>
                <w:sz w:val="18"/>
              </w:rPr>
              <w:t>Ministère de la Culture, du Tourisme et de l'Artisanat</w:t>
            </w:r>
          </w:p>
        </w:tc>
        <w:tc>
          <w:tcPr>
            <w:tcW w:type="dxa" w:w="3175"/>
            <w:shd w:val="clear" w:color="auto" w:fill="F3F7FA"/>
          </w:tcPr>
          <w:p>
            <w:pPr>
              <w:spacing w:before="50" w:after="50"/>
            </w:pPr>
            <w:r>
              <w:rPr>
                <w:rFonts w:ascii="Century Gothic" w:hAnsi="Century Gothic" w:eastAsia="Century Gothic"/>
                <w:b w:val="0"/>
                <w:i w:val="0"/>
                <w:caps w:val="0"/>
                <w:color w:val="121826"/>
                <w:sz w:val="18"/>
              </w:rPr>
              <w:t>« Patrimoine, sites et cultures de Guinée »</w:t>
            </w:r>
          </w:p>
        </w:tc>
        <w:tc>
          <w:tcPr>
            <w:tcW w:type="dxa" w:w="3288"/>
            <w:shd w:val="clear" w:color="auto" w:fill="F3F7FA"/>
          </w:tcPr>
          <w:p>
            <w:pPr>
              <w:spacing w:before="50" w:after="50"/>
            </w:pPr>
            <w:r>
              <w:rPr>
                <w:rFonts w:ascii="Century Gothic" w:hAnsi="Century Gothic" w:eastAsia="Century Gothic"/>
                <w:b w:val="0"/>
                <w:i w:val="0"/>
                <w:caps w:val="0"/>
                <w:color w:val="121826"/>
                <w:sz w:val="18"/>
              </w:rPr>
              <w:t>Formations de guides touristiques ; stages dans les offices et musées</w:t>
            </w:r>
          </w:p>
        </w:tc>
      </w:tr>
      <w:tr>
        <w:tc>
          <w:tcPr>
            <w:tcW w:type="dxa" w:w="3175"/>
          </w:tcPr>
          <w:p>
            <w:pPr>
              <w:spacing w:before="50" w:after="50"/>
            </w:pPr>
            <w:r>
              <w:rPr>
                <w:rFonts w:ascii="Century Gothic" w:hAnsi="Century Gothic" w:eastAsia="Century Gothic"/>
                <w:b/>
                <w:i w:val="0"/>
                <w:caps w:val="0"/>
                <w:color w:val="2A6396"/>
                <w:sz w:val="18"/>
              </w:rPr>
              <w:t>Ministère de la Sécurité et de la Protection civile</w:t>
            </w:r>
          </w:p>
        </w:tc>
        <w:tc>
          <w:tcPr>
            <w:tcW w:type="dxa" w:w="3175"/>
          </w:tcPr>
          <w:p>
            <w:pPr>
              <w:spacing w:before="50" w:after="50"/>
            </w:pPr>
            <w:r>
              <w:rPr>
                <w:rFonts w:ascii="Century Gothic" w:hAnsi="Century Gothic" w:eastAsia="Century Gothic"/>
                <w:b w:val="0"/>
                <w:i w:val="0"/>
                <w:caps w:val="0"/>
                <w:color w:val="121826"/>
                <w:sz w:val="18"/>
              </w:rPr>
              <w:t>« Sécurité routière, civisme et protection civile »</w:t>
            </w:r>
          </w:p>
        </w:tc>
        <w:tc>
          <w:tcPr>
            <w:tcW w:type="dxa" w:w="3288"/>
          </w:tcPr>
          <w:p>
            <w:pPr>
              <w:spacing w:before="50" w:after="50"/>
            </w:pPr>
            <w:r>
              <w:rPr>
                <w:rFonts w:ascii="Century Gothic" w:hAnsi="Century Gothic" w:eastAsia="Century Gothic"/>
                <w:b w:val="0"/>
                <w:i w:val="0"/>
                <w:caps w:val="0"/>
                <w:color w:val="121826"/>
                <w:sz w:val="18"/>
              </w:rPr>
              <w:t>Préparation aux concours ; formations aux premiers secours</w:t>
            </w:r>
          </w:p>
        </w:tc>
      </w:tr>
      <w:tr>
        <w:tc>
          <w:tcPr>
            <w:tcW w:type="dxa" w:w="3175"/>
            <w:shd w:val="clear" w:color="auto" w:fill="F3F7FA"/>
          </w:tcPr>
          <w:p>
            <w:pPr>
              <w:spacing w:before="50" w:after="50"/>
            </w:pPr>
            <w:r>
              <w:rPr>
                <w:rFonts w:ascii="Century Gothic" w:hAnsi="Century Gothic" w:eastAsia="Century Gothic"/>
                <w:b/>
                <w:i w:val="0"/>
                <w:caps w:val="0"/>
                <w:color w:val="2A6396"/>
                <w:sz w:val="18"/>
              </w:rPr>
              <w:t>Ministère de l'Agriculture et de l'Élevage</w:t>
            </w:r>
          </w:p>
        </w:tc>
        <w:tc>
          <w:tcPr>
            <w:tcW w:type="dxa" w:w="3175"/>
            <w:shd w:val="clear" w:color="auto" w:fill="F3F7FA"/>
          </w:tcPr>
          <w:p>
            <w:pPr>
              <w:spacing w:before="50" w:after="50"/>
            </w:pPr>
            <w:r>
              <w:rPr>
                <w:rFonts w:ascii="Century Gothic" w:hAnsi="Century Gothic" w:eastAsia="Century Gothic"/>
                <w:b w:val="0"/>
                <w:i w:val="0"/>
                <w:caps w:val="0"/>
                <w:color w:val="121826"/>
                <w:sz w:val="18"/>
              </w:rPr>
              <w:t>« Agriculture moderne et agro-industrie »</w:t>
            </w:r>
          </w:p>
        </w:tc>
        <w:tc>
          <w:tcPr>
            <w:tcW w:type="dxa" w:w="3288"/>
            <w:shd w:val="clear" w:color="auto" w:fill="F3F7FA"/>
          </w:tcPr>
          <w:p>
            <w:pPr>
              <w:spacing w:before="50" w:after="50"/>
            </w:pPr>
            <w:r>
              <w:rPr>
                <w:rFonts w:ascii="Century Gothic" w:hAnsi="Century Gothic" w:eastAsia="Century Gothic"/>
                <w:b w:val="0"/>
                <w:i w:val="0"/>
                <w:caps w:val="0"/>
                <w:color w:val="121826"/>
                <w:sz w:val="18"/>
              </w:rPr>
              <w:t>Formations techniques ; kits agricoles ; stages dans les agropoles</w:t>
            </w:r>
          </w:p>
        </w:tc>
      </w:tr>
      <w:tr>
        <w:tc>
          <w:tcPr>
            <w:tcW w:type="dxa" w:w="3175"/>
          </w:tcPr>
          <w:p>
            <w:pPr>
              <w:spacing w:before="50" w:after="50"/>
            </w:pPr>
            <w:r>
              <w:rPr>
                <w:rFonts w:ascii="Century Gothic" w:hAnsi="Century Gothic" w:eastAsia="Century Gothic"/>
                <w:b/>
                <w:i w:val="0"/>
                <w:caps w:val="0"/>
                <w:color w:val="2A6396"/>
                <w:sz w:val="18"/>
              </w:rPr>
              <w:t>Ministère de la Santé et de l'Hygiène publique</w:t>
            </w:r>
          </w:p>
        </w:tc>
        <w:tc>
          <w:tcPr>
            <w:tcW w:type="dxa" w:w="3175"/>
          </w:tcPr>
          <w:p>
            <w:pPr>
              <w:spacing w:before="50" w:after="50"/>
            </w:pPr>
            <w:r>
              <w:rPr>
                <w:rFonts w:ascii="Century Gothic" w:hAnsi="Century Gothic" w:eastAsia="Century Gothic"/>
                <w:b w:val="0"/>
                <w:i w:val="0"/>
                <w:caps w:val="0"/>
                <w:color w:val="121826"/>
                <w:sz w:val="18"/>
              </w:rPr>
              <w:t>« Ma santé, mes gestes »</w:t>
            </w:r>
          </w:p>
        </w:tc>
        <w:tc>
          <w:tcPr>
            <w:tcW w:type="dxa" w:w="3288"/>
          </w:tcPr>
          <w:p>
            <w:pPr>
              <w:spacing w:before="50" w:after="50"/>
            </w:pPr>
            <w:r>
              <w:rPr>
                <w:rFonts w:ascii="Century Gothic" w:hAnsi="Century Gothic" w:eastAsia="Century Gothic"/>
                <w:b w:val="0"/>
                <w:i w:val="0"/>
                <w:caps w:val="0"/>
                <w:color w:val="121826"/>
                <w:sz w:val="18"/>
              </w:rPr>
              <w:t>Bourses en sciences de la santé ; stages dans les hôpitaux régionaux</w:t>
            </w:r>
          </w:p>
        </w:tc>
      </w:tr>
      <w:tr>
        <w:tc>
          <w:tcPr>
            <w:tcW w:type="dxa" w:w="3175"/>
            <w:shd w:val="clear" w:color="auto" w:fill="F3F7FA"/>
          </w:tcPr>
          <w:p>
            <w:pPr>
              <w:spacing w:before="50" w:after="50"/>
            </w:pPr>
            <w:r>
              <w:rPr>
                <w:rFonts w:ascii="Century Gothic" w:hAnsi="Century Gothic" w:eastAsia="Century Gothic"/>
                <w:b/>
                <w:i w:val="0"/>
                <w:caps w:val="0"/>
                <w:color w:val="2A6396"/>
                <w:sz w:val="18"/>
              </w:rPr>
              <w:t>Ministère de la Défense nationale</w:t>
            </w:r>
          </w:p>
        </w:tc>
        <w:tc>
          <w:tcPr>
            <w:tcW w:type="dxa" w:w="3175"/>
            <w:shd w:val="clear" w:color="auto" w:fill="F3F7FA"/>
          </w:tcPr>
          <w:p>
            <w:pPr>
              <w:spacing w:before="50" w:after="50"/>
            </w:pPr>
            <w:r>
              <w:rPr>
                <w:rFonts w:ascii="Century Gothic" w:hAnsi="Century Gothic" w:eastAsia="Century Gothic"/>
                <w:b w:val="0"/>
                <w:i w:val="0"/>
                <w:caps w:val="0"/>
                <w:color w:val="121826"/>
                <w:sz w:val="18"/>
              </w:rPr>
              <w:t>« L'armée et la Nation »</w:t>
            </w:r>
          </w:p>
        </w:tc>
        <w:tc>
          <w:tcPr>
            <w:tcW w:type="dxa" w:w="3288"/>
            <w:shd w:val="clear" w:color="auto" w:fill="F3F7FA"/>
          </w:tcPr>
          <w:p>
            <w:pPr>
              <w:spacing w:before="50" w:after="50"/>
            </w:pPr>
            <w:r>
              <w:rPr>
                <w:rFonts w:ascii="Century Gothic" w:hAnsi="Century Gothic" w:eastAsia="Century Gothic"/>
                <w:b w:val="0"/>
                <w:i w:val="0"/>
                <w:caps w:val="0"/>
                <w:color w:val="121826"/>
                <w:sz w:val="18"/>
              </w:rPr>
              <w:t>Journées d'immersion ; préparation aux écoles militaires</w:t>
            </w:r>
          </w:p>
        </w:tc>
      </w:tr>
      <w:tr>
        <w:tc>
          <w:tcPr>
            <w:tcW w:type="dxa" w:w="3175"/>
          </w:tcPr>
          <w:p>
            <w:pPr>
              <w:spacing w:before="50" w:after="50"/>
            </w:pPr>
            <w:r>
              <w:rPr>
                <w:rFonts w:ascii="Century Gothic" w:hAnsi="Century Gothic" w:eastAsia="Century Gothic"/>
                <w:b/>
                <w:i w:val="0"/>
                <w:caps w:val="0"/>
                <w:color w:val="2A6396"/>
                <w:sz w:val="18"/>
              </w:rPr>
              <w:t>Ministère des Mines et de la Géologie</w:t>
            </w:r>
          </w:p>
        </w:tc>
        <w:tc>
          <w:tcPr>
            <w:tcW w:type="dxa" w:w="3175"/>
          </w:tcPr>
          <w:p>
            <w:pPr>
              <w:spacing w:before="50" w:after="50"/>
            </w:pPr>
            <w:r>
              <w:rPr>
                <w:rFonts w:ascii="Century Gothic" w:hAnsi="Century Gothic" w:eastAsia="Century Gothic"/>
                <w:b w:val="0"/>
                <w:i w:val="0"/>
                <w:caps w:val="0"/>
                <w:color w:val="121826"/>
                <w:sz w:val="18"/>
              </w:rPr>
              <w:t>« Simandou 2040 » (pilote)</w:t>
            </w:r>
          </w:p>
        </w:tc>
        <w:tc>
          <w:tcPr>
            <w:tcW w:type="dxa" w:w="3288"/>
          </w:tcPr>
          <w:p>
            <w:pPr>
              <w:spacing w:before="50" w:after="50"/>
            </w:pPr>
            <w:r>
              <w:rPr>
                <w:rFonts w:ascii="Century Gothic" w:hAnsi="Century Gothic" w:eastAsia="Century Gothic"/>
                <w:b w:val="0"/>
                <w:i w:val="0"/>
                <w:caps w:val="0"/>
                <w:color w:val="121826"/>
                <w:sz w:val="18"/>
              </w:rPr>
              <w:t>Formations Simandou Academy ; stages chez Simfer, WCS, CBG</w:t>
            </w:r>
          </w:p>
        </w:tc>
      </w:tr>
      <w:tr>
        <w:tc>
          <w:tcPr>
            <w:tcW w:type="dxa" w:w="3175"/>
            <w:shd w:val="clear" w:color="auto" w:fill="F3F7FA"/>
          </w:tcPr>
          <w:p>
            <w:pPr>
              <w:spacing w:before="50" w:after="50"/>
            </w:pPr>
            <w:r>
              <w:rPr>
                <w:rFonts w:ascii="Century Gothic" w:hAnsi="Century Gothic" w:eastAsia="Century Gothic"/>
                <w:b/>
                <w:i w:val="0"/>
                <w:caps w:val="0"/>
                <w:color w:val="2A6396"/>
                <w:sz w:val="18"/>
              </w:rPr>
              <w:t>Ministère de l'Enseignement supérieur</w:t>
            </w:r>
          </w:p>
        </w:tc>
        <w:tc>
          <w:tcPr>
            <w:tcW w:type="dxa" w:w="3175"/>
            <w:shd w:val="clear" w:color="auto" w:fill="F3F7FA"/>
          </w:tcPr>
          <w:p>
            <w:pPr>
              <w:spacing w:before="50" w:after="50"/>
            </w:pPr>
            <w:r>
              <w:rPr>
                <w:rFonts w:ascii="Century Gothic" w:hAnsi="Century Gothic" w:eastAsia="Century Gothic"/>
                <w:b w:val="0"/>
                <w:i w:val="0"/>
                <w:caps w:val="0"/>
                <w:color w:val="121826"/>
                <w:sz w:val="18"/>
              </w:rPr>
              <w:t>« Orientation et métiers d'avenir »</w:t>
            </w:r>
          </w:p>
        </w:tc>
        <w:tc>
          <w:tcPr>
            <w:tcW w:type="dxa" w:w="3288"/>
            <w:shd w:val="clear" w:color="auto" w:fill="F3F7FA"/>
          </w:tcPr>
          <w:p>
            <w:pPr>
              <w:spacing w:before="50" w:after="50"/>
            </w:pPr>
            <w:r>
              <w:rPr>
                <w:rFonts w:ascii="Century Gothic" w:hAnsi="Century Gothic" w:eastAsia="Century Gothic"/>
                <w:b w:val="0"/>
                <w:i w:val="0"/>
                <w:caps w:val="0"/>
                <w:color w:val="121826"/>
                <w:sz w:val="18"/>
              </w:rPr>
              <w:t>Bourses d'excellence ; places dans les filières prioritaires</w:t>
            </w:r>
          </w:p>
        </w:tc>
      </w:tr>
      <w:tr>
        <w:tc>
          <w:tcPr>
            <w:tcW w:type="dxa" w:w="3175"/>
          </w:tcPr>
          <w:p>
            <w:pPr>
              <w:spacing w:before="50" w:after="50"/>
            </w:pPr>
            <w:r>
              <w:rPr>
                <w:rFonts w:ascii="Century Gothic" w:hAnsi="Century Gothic" w:eastAsia="Century Gothic"/>
                <w:b/>
                <w:i w:val="0"/>
                <w:caps w:val="0"/>
                <w:color w:val="2A6396"/>
                <w:sz w:val="18"/>
              </w:rPr>
              <w:t>Ministère de la Jeunesse et des Sports</w:t>
            </w:r>
          </w:p>
        </w:tc>
        <w:tc>
          <w:tcPr>
            <w:tcW w:type="dxa" w:w="3175"/>
          </w:tcPr>
          <w:p>
            <w:pPr>
              <w:spacing w:before="50" w:after="50"/>
            </w:pPr>
            <w:r>
              <w:rPr>
                <w:rFonts w:ascii="Century Gothic" w:hAnsi="Century Gothic" w:eastAsia="Century Gothic"/>
                <w:b w:val="0"/>
                <w:i w:val="0"/>
                <w:caps w:val="0"/>
                <w:color w:val="121826"/>
                <w:sz w:val="18"/>
              </w:rPr>
              <w:t>« Citoyenneté et engagement des jeunes »</w:t>
            </w:r>
          </w:p>
        </w:tc>
        <w:tc>
          <w:tcPr>
            <w:tcW w:type="dxa" w:w="3288"/>
          </w:tcPr>
          <w:p>
            <w:pPr>
              <w:spacing w:before="50" w:after="50"/>
            </w:pPr>
            <w:r>
              <w:rPr>
                <w:rFonts w:ascii="Century Gothic" w:hAnsi="Century Gothic" w:eastAsia="Century Gothic"/>
                <w:b w:val="0"/>
                <w:i w:val="0"/>
                <w:caps w:val="0"/>
                <w:color w:val="121826"/>
                <w:sz w:val="18"/>
              </w:rPr>
              <w:t>Volontariat, incubation de projets, équipements</w:t>
            </w:r>
          </w:p>
        </w:tc>
      </w:tr>
      <w:tr>
        <w:tc>
          <w:tcPr>
            <w:tcW w:type="dxa" w:w="3175"/>
            <w:shd w:val="clear" w:color="auto" w:fill="F3F7FA"/>
          </w:tcPr>
          <w:p>
            <w:pPr>
              <w:spacing w:before="50" w:after="50"/>
            </w:pPr>
            <w:r>
              <w:rPr>
                <w:rFonts w:ascii="Century Gothic" w:hAnsi="Century Gothic" w:eastAsia="Century Gothic"/>
                <w:b/>
                <w:i w:val="0"/>
                <w:caps w:val="0"/>
                <w:color w:val="2A6396"/>
                <w:sz w:val="18"/>
              </w:rPr>
              <w:t>Ministère des Postes, Télécommunications et de l'Économie numérique</w:t>
            </w:r>
          </w:p>
        </w:tc>
        <w:tc>
          <w:tcPr>
            <w:tcW w:type="dxa" w:w="3175"/>
            <w:shd w:val="clear" w:color="auto" w:fill="F3F7FA"/>
          </w:tcPr>
          <w:p>
            <w:pPr>
              <w:spacing w:before="50" w:after="50"/>
            </w:pPr>
            <w:r>
              <w:rPr>
                <w:rFonts w:ascii="Century Gothic" w:hAnsi="Century Gothic" w:eastAsia="Century Gothic"/>
                <w:b w:val="0"/>
                <w:i w:val="0"/>
                <w:caps w:val="0"/>
                <w:color w:val="121826"/>
                <w:sz w:val="18"/>
              </w:rPr>
              <w:t>« Citoyen numérique »</w:t>
            </w:r>
          </w:p>
        </w:tc>
        <w:tc>
          <w:tcPr>
            <w:tcW w:type="dxa" w:w="3288"/>
            <w:shd w:val="clear" w:color="auto" w:fill="F3F7FA"/>
          </w:tcPr>
          <w:p>
            <w:pPr>
              <w:spacing w:before="50" w:after="50"/>
            </w:pPr>
            <w:r>
              <w:rPr>
                <w:rFonts w:ascii="Century Gothic" w:hAnsi="Century Gothic" w:eastAsia="Century Gothic"/>
                <w:b w:val="0"/>
                <w:i w:val="0"/>
                <w:caps w:val="0"/>
                <w:color w:val="121826"/>
                <w:sz w:val="18"/>
              </w:rPr>
              <w:t>Bourses de formation au code et au numérique ; stages chez les opérateurs</w:t>
            </w:r>
          </w:p>
        </w:tc>
      </w:tr>
      <w:tr>
        <w:tc>
          <w:tcPr>
            <w:tcW w:type="dxa" w:w="3175"/>
          </w:tcPr>
          <w:p>
            <w:pPr>
              <w:spacing w:before="50" w:after="50"/>
            </w:pPr>
            <w:r>
              <w:rPr>
                <w:rFonts w:ascii="Century Gothic" w:hAnsi="Century Gothic" w:eastAsia="Century Gothic"/>
                <w:b/>
                <w:i w:val="0"/>
                <w:caps w:val="0"/>
                <w:color w:val="2A6396"/>
                <w:sz w:val="18"/>
              </w:rPr>
              <w:t>Ministère de l'Environnement et du Développement durable</w:t>
            </w:r>
          </w:p>
        </w:tc>
        <w:tc>
          <w:tcPr>
            <w:tcW w:type="dxa" w:w="3175"/>
          </w:tcPr>
          <w:p>
            <w:pPr>
              <w:spacing w:before="50" w:after="50"/>
            </w:pPr>
            <w:r>
              <w:rPr>
                <w:rFonts w:ascii="Century Gothic" w:hAnsi="Century Gothic" w:eastAsia="Century Gothic"/>
                <w:b w:val="0"/>
                <w:i w:val="0"/>
                <w:caps w:val="0"/>
                <w:color w:val="121826"/>
                <w:sz w:val="18"/>
              </w:rPr>
              <w:t>« Protéger la Guinée, château d'eau de l'Afrique de l'Ouest »</w:t>
            </w:r>
          </w:p>
        </w:tc>
        <w:tc>
          <w:tcPr>
            <w:tcW w:type="dxa" w:w="3288"/>
          </w:tcPr>
          <w:p>
            <w:pPr>
              <w:spacing w:before="50" w:after="50"/>
            </w:pPr>
            <w:r>
              <w:rPr>
                <w:rFonts w:ascii="Century Gothic" w:hAnsi="Century Gothic" w:eastAsia="Century Gothic"/>
                <w:b w:val="0"/>
                <w:i w:val="0"/>
                <w:caps w:val="0"/>
                <w:color w:val="121826"/>
                <w:sz w:val="18"/>
              </w:rPr>
              <w:t>Stages dans les parcs et projets ; kits solaires</w:t>
            </w:r>
          </w:p>
        </w:tc>
      </w:tr>
      <w:tr>
        <w:tc>
          <w:tcPr>
            <w:tcW w:type="dxa" w:w="3175"/>
            <w:shd w:val="clear" w:color="auto" w:fill="F3F7FA"/>
          </w:tcPr>
          <w:p>
            <w:pPr>
              <w:spacing w:before="50" w:after="50"/>
            </w:pPr>
            <w:r>
              <w:rPr>
                <w:rFonts w:ascii="Century Gothic" w:hAnsi="Century Gothic" w:eastAsia="Century Gothic"/>
                <w:b/>
                <w:i w:val="0"/>
                <w:caps w:val="0"/>
                <w:color w:val="2A6396"/>
                <w:sz w:val="18"/>
              </w:rPr>
              <w:t>Ministère de la Fonction publique</w:t>
            </w:r>
          </w:p>
        </w:tc>
        <w:tc>
          <w:tcPr>
            <w:tcW w:type="dxa" w:w="3175"/>
            <w:shd w:val="clear" w:color="auto" w:fill="F3F7FA"/>
          </w:tcPr>
          <w:p>
            <w:pPr>
              <w:spacing w:before="50" w:after="50"/>
            </w:pPr>
            <w:r>
              <w:rPr>
                <w:rFonts w:ascii="Century Gothic" w:hAnsi="Century Gothic" w:eastAsia="Century Gothic"/>
                <w:b w:val="0"/>
                <w:i w:val="0"/>
                <w:caps w:val="0"/>
                <w:color w:val="121826"/>
                <w:sz w:val="18"/>
              </w:rPr>
              <w:t>« Connaître l'administration »</w:t>
            </w:r>
          </w:p>
        </w:tc>
        <w:tc>
          <w:tcPr>
            <w:tcW w:type="dxa" w:w="3288"/>
            <w:shd w:val="clear" w:color="auto" w:fill="F3F7FA"/>
          </w:tcPr>
          <w:p>
            <w:pPr>
              <w:spacing w:before="50" w:after="50"/>
            </w:pPr>
            <w:r>
              <w:rPr>
                <w:rFonts w:ascii="Century Gothic" w:hAnsi="Century Gothic" w:eastAsia="Century Gothic"/>
                <w:b w:val="0"/>
                <w:i w:val="0"/>
                <w:caps w:val="0"/>
                <w:color w:val="121826"/>
                <w:sz w:val="18"/>
              </w:rPr>
              <w:t>Préparation aux concours de la fonction publique</w:t>
            </w:r>
          </w:p>
        </w:tc>
      </w:tr>
    </w:tbl>
    <w:p>
      <w:pPr>
        <w:spacing w:after="40"/>
      </w:pPr>
    </w:p>
    <w:p>
      <w:pPr>
        <w:keepNext w:val="0"/>
        <w:spacing w:before="280" w:after="120"/>
        <w:pBdr>
          <w:bottom w:val="single" w:sz="8" w:color="E8A858" w:space="2"/>
        </w:pBdr>
      </w:pPr>
      <w:r>
        <w:rPr>
          <w:rFonts w:ascii="Century Gothic" w:hAnsi="Century Gothic" w:eastAsia="Century Gothic"/>
          <w:b/>
          <w:i w:val="0"/>
          <w:caps w:val="0"/>
          <w:color w:val="2A6396"/>
          <w:sz w:val="25"/>
        </w:rPr>
        <w:t>ANNEXE C · SOURCES</w:t>
      </w:r>
    </w:p>
    <w:p>
      <w:pPr>
        <w:spacing w:before="0" w:after="40"/>
        <w:ind w:left="454" w:hanging="340"/>
      </w:pPr>
      <w:r>
        <w:rPr>
          <w:rFonts w:ascii="Century Gothic" w:hAnsi="Century Gothic" w:eastAsia="Century Gothic"/>
          <w:b/>
          <w:i w:val="0"/>
          <w:caps w:val="0"/>
          <w:color w:val="2A6396"/>
          <w:sz w:val="17"/>
        </w:rPr>
        <w:t xml:space="preserve">1.  </w:t>
      </w:r>
      <w:r>
        <w:rPr>
          <w:rFonts w:ascii="Century Gothic" w:hAnsi="Century Gothic" w:eastAsia="Century Gothic"/>
          <w:b w:val="0"/>
          <w:i w:val="0"/>
          <w:caps w:val="0"/>
          <w:color w:val="121826"/>
          <w:sz w:val="17"/>
        </w:rPr>
        <w:t xml:space="preserve">DataReportal, Digital 2026 : Guinea (population, connexions mobiles, internautes, réseaux sociaux) — </w:t>
      </w:r>
      <w:r>
        <w:rPr>
          <w:rFonts w:ascii="Century Gothic" w:hAnsi="Century Gothic" w:eastAsia="Century Gothic"/>
          <w:b w:val="0"/>
          <w:i w:val="0"/>
          <w:caps w:val="0"/>
          <w:color w:val="7F838F"/>
          <w:sz w:val="16"/>
        </w:rPr>
        <w:t>https://datareportal.com/reports/digital-2026-guinea</w:t>
      </w:r>
    </w:p>
    <w:p>
      <w:pPr>
        <w:spacing w:before="0" w:after="40"/>
        <w:ind w:left="454" w:hanging="340"/>
      </w:pPr>
      <w:r>
        <w:rPr>
          <w:rFonts w:ascii="Century Gothic" w:hAnsi="Century Gothic" w:eastAsia="Century Gothic"/>
          <w:b/>
          <w:i w:val="0"/>
          <w:caps w:val="0"/>
          <w:color w:val="2A6396"/>
          <w:sz w:val="17"/>
        </w:rPr>
        <w:t xml:space="preserve">2.  </w:t>
      </w:r>
      <w:r>
        <w:rPr>
          <w:rFonts w:ascii="Century Gothic" w:hAnsi="Century Gothic" w:eastAsia="Century Gothic"/>
          <w:b w:val="0"/>
          <w:i w:val="0"/>
          <w:caps w:val="0"/>
          <w:color w:val="121826"/>
          <w:sz w:val="17"/>
        </w:rPr>
        <w:t xml:space="preserve">Africa24 / Observatoire national du travail : plus de 40 % des diplômés sans emploi (2025) — </w:t>
      </w:r>
      <w:r>
        <w:rPr>
          <w:rFonts w:ascii="Century Gothic" w:hAnsi="Century Gothic" w:eastAsia="Century Gothic"/>
          <w:b w:val="0"/>
          <w:i w:val="0"/>
          <w:caps w:val="0"/>
          <w:color w:val="7F838F"/>
          <w:sz w:val="16"/>
        </w:rPr>
        <w:t>https://africa24tv.com/guinee-plus-de-40-des-diplomes-restent-sans-emploi</w:t>
      </w:r>
    </w:p>
    <w:p>
      <w:pPr>
        <w:spacing w:before="0" w:after="40"/>
        <w:ind w:left="454" w:hanging="340"/>
      </w:pPr>
      <w:r>
        <w:rPr>
          <w:rFonts w:ascii="Century Gothic" w:hAnsi="Century Gothic" w:eastAsia="Century Gothic"/>
          <w:b/>
          <w:i w:val="0"/>
          <w:caps w:val="0"/>
          <w:color w:val="2A6396"/>
          <w:sz w:val="17"/>
        </w:rPr>
        <w:t xml:space="preserve">3.  </w:t>
      </w:r>
      <w:r>
        <w:rPr>
          <w:rFonts w:ascii="Century Gothic" w:hAnsi="Century Gothic" w:eastAsia="Century Gothic"/>
          <w:b w:val="0"/>
          <w:i w:val="0"/>
          <w:caps w:val="0"/>
          <w:color w:val="121826"/>
          <w:sz w:val="17"/>
        </w:rPr>
        <w:t xml:space="preserve">Agence Ecofin : la Guinée place les compétences locales au cœur de la vision Simandou 2040 — </w:t>
      </w:r>
      <w:r>
        <w:rPr>
          <w:rFonts w:ascii="Century Gothic" w:hAnsi="Century Gothic" w:eastAsia="Century Gothic"/>
          <w:b w:val="0"/>
          <w:i w:val="0"/>
          <w:caps w:val="0"/>
          <w:color w:val="7F838F"/>
          <w:sz w:val="16"/>
        </w:rPr>
        <w:t>https://www.agenceecofin.com/actualites-services/0506-139029-la-guinee-place-les-competences-locales-au-c-ur-de-la-vision-simandou-2040</w:t>
      </w:r>
    </w:p>
    <w:p>
      <w:pPr>
        <w:spacing w:before="0" w:after="40"/>
        <w:ind w:left="454" w:hanging="340"/>
      </w:pPr>
      <w:r>
        <w:rPr>
          <w:rFonts w:ascii="Century Gothic" w:hAnsi="Century Gothic" w:eastAsia="Century Gothic"/>
          <w:b/>
          <w:i w:val="0"/>
          <w:caps w:val="0"/>
          <w:color w:val="2A6396"/>
          <w:sz w:val="17"/>
        </w:rPr>
        <w:t xml:space="preserve">4.  </w:t>
      </w:r>
      <w:r>
        <w:rPr>
          <w:rFonts w:ascii="Century Gothic" w:hAnsi="Century Gothic" w:eastAsia="Century Gothic"/>
          <w:b w:val="0"/>
          <w:i w:val="0"/>
          <w:caps w:val="0"/>
          <w:color w:val="121826"/>
          <w:sz w:val="17"/>
        </w:rPr>
        <w:t xml:space="preserve">Présidence de la République : Simandou Academy — </w:t>
      </w:r>
      <w:r>
        <w:rPr>
          <w:rFonts w:ascii="Century Gothic" w:hAnsi="Century Gothic" w:eastAsia="Century Gothic"/>
          <w:b w:val="0"/>
          <w:i w:val="0"/>
          <w:caps w:val="0"/>
          <w:color w:val="7F838F"/>
          <w:sz w:val="16"/>
        </w:rPr>
        <w:t>https://presidence.gov.gn/simandou-academy-la-guinee-sinspire-du-modele-marocain-pour-batir-lecole-de-lavenir-en-renforcant-le-capital-humain/</w:t>
      </w:r>
    </w:p>
    <w:p>
      <w:pPr>
        <w:spacing w:before="0" w:after="40"/>
        <w:ind w:left="454" w:hanging="340"/>
      </w:pPr>
      <w:r>
        <w:rPr>
          <w:rFonts w:ascii="Century Gothic" w:hAnsi="Century Gothic" w:eastAsia="Century Gothic"/>
          <w:b/>
          <w:i w:val="0"/>
          <w:caps w:val="0"/>
          <w:color w:val="2A6396"/>
          <w:sz w:val="17"/>
        </w:rPr>
        <w:t xml:space="preserve">5.  </w:t>
      </w:r>
      <w:r>
        <w:rPr>
          <w:rFonts w:ascii="Century Gothic" w:hAnsi="Century Gothic" w:eastAsia="Century Gothic"/>
          <w:b w:val="0"/>
          <w:i w:val="0"/>
          <w:caps w:val="0"/>
          <w:color w:val="121826"/>
          <w:sz w:val="17"/>
        </w:rPr>
        <w:t xml:space="preserve">MyGov Quiz (Inde) : plateforme des quiz des ministères — </w:t>
      </w:r>
      <w:r>
        <w:rPr>
          <w:rFonts w:ascii="Century Gothic" w:hAnsi="Century Gothic" w:eastAsia="Century Gothic"/>
          <w:b w:val="0"/>
          <w:i w:val="0"/>
          <w:caps w:val="0"/>
          <w:color w:val="7F838F"/>
          <w:sz w:val="16"/>
        </w:rPr>
        <w:t>https://quiz.mygov.in/</w:t>
      </w:r>
    </w:p>
    <w:p>
      <w:pPr>
        <w:spacing w:before="0" w:after="40"/>
        <w:ind w:left="454" w:hanging="340"/>
      </w:pPr>
      <w:r>
        <w:rPr>
          <w:rFonts w:ascii="Century Gothic" w:hAnsi="Century Gothic" w:eastAsia="Century Gothic"/>
          <w:b/>
          <w:i w:val="0"/>
          <w:caps w:val="0"/>
          <w:color w:val="2A6396"/>
          <w:sz w:val="17"/>
        </w:rPr>
        <w:t xml:space="preserve">6.  </w:t>
      </w:r>
      <w:r>
        <w:rPr>
          <w:rFonts w:ascii="Century Gothic" w:hAnsi="Century Gothic" w:eastAsia="Century Gothic"/>
          <w:b w:val="0"/>
          <w:i w:val="0"/>
          <w:caps w:val="0"/>
          <w:color w:val="121826"/>
          <w:sz w:val="17"/>
        </w:rPr>
        <w:t xml:space="preserve">DD News : record mondial MY Bharat, 390 812 participants en une semaine ; plus de 5 millions au total — </w:t>
      </w:r>
      <w:r>
        <w:rPr>
          <w:rFonts w:ascii="Century Gothic" w:hAnsi="Century Gothic" w:eastAsia="Century Gothic"/>
          <w:b w:val="0"/>
          <w:i w:val="0"/>
          <w:caps w:val="0"/>
          <w:color w:val="7F838F"/>
          <w:sz w:val="16"/>
        </w:rPr>
        <w:t>https://ddnews.gov.in/en/my-bharat-sets-guinness-world-record-for-largest-participation-in-online-quiz/</w:t>
      </w:r>
    </w:p>
    <w:p>
      <w:pPr>
        <w:spacing w:before="0" w:after="40"/>
        <w:ind w:left="454" w:hanging="340"/>
      </w:pPr>
      <w:r>
        <w:rPr>
          <w:rFonts w:ascii="Century Gothic" w:hAnsi="Century Gothic" w:eastAsia="Century Gothic"/>
          <w:b/>
          <w:i w:val="0"/>
          <w:caps w:val="0"/>
          <w:color w:val="2A6396"/>
          <w:sz w:val="17"/>
        </w:rPr>
        <w:t xml:space="preserve">7.  </w:t>
      </w:r>
      <w:r>
        <w:rPr>
          <w:rFonts w:ascii="Century Gothic" w:hAnsi="Century Gothic" w:eastAsia="Century Gothic"/>
          <w:b w:val="0"/>
          <w:i w:val="0"/>
          <w:caps w:val="0"/>
          <w:color w:val="121826"/>
          <w:sz w:val="17"/>
        </w:rPr>
        <w:t xml:space="preserve">UNESCO : Eneza Education (Kenya), 10 millions d'apprenants — </w:t>
      </w:r>
      <w:r>
        <w:rPr>
          <w:rFonts w:ascii="Century Gothic" w:hAnsi="Century Gothic" w:eastAsia="Century Gothic"/>
          <w:b w:val="0"/>
          <w:i w:val="0"/>
          <w:caps w:val="0"/>
          <w:color w:val="7F838F"/>
          <w:sz w:val="16"/>
        </w:rPr>
        <w:t>https://www.unesco.org/en/dtc-financing-toolkit/eneza-education</w:t>
      </w:r>
    </w:p>
    <w:p>
      <w:pPr>
        <w:spacing w:before="0" w:after="40"/>
        <w:ind w:left="454" w:hanging="340"/>
      </w:pPr>
      <w:r>
        <w:rPr>
          <w:rFonts w:ascii="Century Gothic" w:hAnsi="Century Gothic" w:eastAsia="Century Gothic"/>
          <w:b/>
          <w:i w:val="0"/>
          <w:caps w:val="0"/>
          <w:color w:val="2A6396"/>
          <w:sz w:val="17"/>
        </w:rPr>
        <w:t xml:space="preserve">8.  </w:t>
      </w:r>
      <w:r>
        <w:rPr>
          <w:rFonts w:ascii="Century Gothic" w:hAnsi="Century Gothic" w:eastAsia="Century Gothic"/>
          <w:b w:val="0"/>
          <w:i w:val="0"/>
          <w:caps w:val="0"/>
          <w:color w:val="121826"/>
          <w:sz w:val="17"/>
        </w:rPr>
        <w:t xml:space="preserve">Ministère de l'Éducation de Singapour : résultats de SkillsFuture (2025) — </w:t>
      </w:r>
      <w:r>
        <w:rPr>
          <w:rFonts w:ascii="Century Gothic" w:hAnsi="Century Gothic" w:eastAsia="Century Gothic"/>
          <w:b w:val="0"/>
          <w:i w:val="0"/>
          <w:caps w:val="0"/>
          <w:color w:val="7F838F"/>
          <w:sz w:val="16"/>
        </w:rPr>
        <w:t>https://www.moe.gov.sg/news/parliamentary-replies/20250925-career-impact-of-skillsfuture-credits-mid-career-training-allowance-and-level-up-programme</w:t>
      </w:r>
    </w:p>
    <w:p>
      <w:pPr>
        <w:spacing w:before="0" w:after="40"/>
        <w:ind w:left="454" w:hanging="340"/>
      </w:pPr>
      <w:r>
        <w:rPr>
          <w:rFonts w:ascii="Century Gothic" w:hAnsi="Century Gothic" w:eastAsia="Century Gothic"/>
          <w:b/>
          <w:i w:val="0"/>
          <w:caps w:val="0"/>
          <w:color w:val="2A6396"/>
          <w:sz w:val="17"/>
        </w:rPr>
        <w:t xml:space="preserve">9.  </w:t>
      </w:r>
      <w:r>
        <w:rPr>
          <w:rFonts w:ascii="Century Gothic" w:hAnsi="Century Gothic" w:eastAsia="Century Gothic"/>
          <w:b w:val="0"/>
          <w:i w:val="0"/>
          <w:caps w:val="0"/>
          <w:color w:val="121826"/>
          <w:sz w:val="17"/>
        </w:rPr>
        <w:t xml:space="preserve">Kahoot! : 14 milliards de participations — </w:t>
      </w:r>
      <w:r>
        <w:rPr>
          <w:rFonts w:ascii="Century Gothic" w:hAnsi="Century Gothic" w:eastAsia="Century Gothic"/>
          <w:b w:val="0"/>
          <w:i w:val="0"/>
          <w:caps w:val="0"/>
          <w:color w:val="7F838F"/>
          <w:sz w:val="16"/>
        </w:rPr>
        <w:t>https://kahoot.com/company/</w:t>
      </w:r>
    </w:p>
    <w:p>
      <w:pPr>
        <w:spacing w:before="0" w:after="40"/>
        <w:ind w:left="454" w:hanging="340"/>
      </w:pPr>
      <w:r>
        <w:rPr>
          <w:rFonts w:ascii="Century Gothic" w:hAnsi="Century Gothic" w:eastAsia="Century Gothic"/>
          <w:b/>
          <w:i w:val="0"/>
          <w:caps w:val="0"/>
          <w:color w:val="2A6396"/>
          <w:sz w:val="17"/>
        </w:rPr>
        <w:t xml:space="preserve">10.  </w:t>
      </w:r>
      <w:r>
        <w:rPr>
          <w:rFonts w:ascii="Century Gothic" w:hAnsi="Century Gothic" w:eastAsia="Century Gothic"/>
          <w:b w:val="0"/>
          <w:i w:val="0"/>
          <w:caps w:val="0"/>
          <w:color w:val="121826"/>
          <w:sz w:val="17"/>
        </w:rPr>
        <w:t xml:space="preserve">Cour suprême de Guinée : Loi L/2016/037/AN relative à la cybersécurité et à la protection des données à caractère personnel — </w:t>
      </w:r>
      <w:r>
        <w:rPr>
          <w:rFonts w:ascii="Century Gothic" w:hAnsi="Century Gothic" w:eastAsia="Century Gothic"/>
          <w:b w:val="0"/>
          <w:i w:val="0"/>
          <w:caps w:val="0"/>
          <w:color w:val="7F838F"/>
          <w:sz w:val="16"/>
        </w:rPr>
        <w:t>https://coursupreme.org.gn/en/loi-l-2016-037-an-relative-a-la-cybersecurite-et-la-protection-des-donnees-a-caractere-personnel/</w:t>
      </w:r>
    </w:p>
    <w:p>
      <w:pPr>
        <w:spacing w:before="0" w:after="40"/>
        <w:ind w:left="454" w:hanging="340"/>
      </w:pPr>
      <w:r>
        <w:rPr>
          <w:rFonts w:ascii="Century Gothic" w:hAnsi="Century Gothic" w:eastAsia="Century Gothic"/>
          <w:b/>
          <w:i w:val="0"/>
          <w:caps w:val="0"/>
          <w:color w:val="2A6396"/>
          <w:sz w:val="17"/>
        </w:rPr>
        <w:t xml:space="preserve">11.  </w:t>
      </w:r>
      <w:r>
        <w:rPr>
          <w:rFonts w:ascii="Century Gothic" w:hAnsi="Century Gothic" w:eastAsia="Century Gothic"/>
          <w:b w:val="0"/>
          <w:i w:val="0"/>
          <w:caps w:val="0"/>
          <w:color w:val="121826"/>
          <w:sz w:val="17"/>
        </w:rPr>
        <w:t xml:space="preserve">Pilote Government Quiz An 68 — </w:t>
      </w:r>
      <w:r>
        <w:rPr>
          <w:rFonts w:ascii="Century Gothic" w:hAnsi="Century Gothic" w:eastAsia="Century Gothic"/>
          <w:b w:val="0"/>
          <w:i w:val="0"/>
          <w:caps w:val="0"/>
          <w:color w:val="7F838F"/>
          <w:sz w:val="16"/>
        </w:rPr>
        <w:t>https://theblackdude.github.io/Simandou-Quiz/</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eastAsia="Century Gothic"/>
        <w:b w:val="0"/>
        <w:i w:val="0"/>
        <w:caps/>
        <w:color w:val="9AA3AE"/>
        <w:sz w:val="15"/>
      </w:rPr>
      <w:t xml:space="preserve">Secrétariat Général du Gouvernement · Government Quiz Guinée · Note de proposition · Septembre 2026 · Page </w:t>
    </w:r>
    <w:r>
      <w:rPr>
        <w:rFonts w:ascii="Century Gothic" w:hAnsi="Century Gothic"/>
        <w:color w:val="9AA3AE"/>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eastAsia="Century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