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Response to Blurt</w:t>
      </w:r>
    </w:p>
    <w:p>
      <w:pPr>
        <w:spacing w:after="80"/>
        <w:jc w:val="center"/>
      </w:pPr>
      <w:r>
        <w:rPr>
          <w:sz w:val="28"/>
          <w:szCs w:val="28"/>
        </w:rPr>
        <w:t xml:space="preserve">Tokenomics, Storage Economics &amp; Multi-Algo Security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v1.0 · Audience: Blurt Core team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Thank you for laying this out clearly. We take these concerns seriously — especially coming from a team that deliberately reduced its own holdings from ~15% to ~7% because you believe broad ownership matters. That is the standard we want partners to hold us to.</w:t>
      </w:r>
    </w:p>
    <w:p>
      <w:pPr>
        <w:spacing w:after="160"/>
      </w:pPr>
      <w:r>
        <w:t xml:space="preserve">This document is our current, honest position: what is already designed and deployed, what changes the dilution math materially from your model, and what we have not yet published but should.</w:t>
      </w:r>
    </w:p>
    <w:p>
      <w:pPr>
        <w:pStyle w:val="Heading1"/>
      </w:pPr>
      <w:r>
        <w:t xml:space="preserve">On Concentration and Your Dilution Math</w:t>
      </w:r>
    </w:p>
    <w:p>
      <w:pPr>
        <w:spacing w:after="160"/>
      </w:pPr>
      <w:r>
        <w:t xml:space="preserve">Your concern is valid. At block ~9,687, on-chain supply is ~201M STONE, and the top three addresses hold roughly 30% + 25% + 22% ≈ 77% of circulating supply. If Blurt paid for storage in STONE, you would be buying into a market where a small number of wallets dominate float today.</w:t>
      </w:r>
    </w:p>
    <w:p>
      <w:pPr>
        <w:pStyle w:val="Heading2"/>
      </w:pPr>
      <w:r>
        <w:t xml:space="preserve">Two Clarifications on the Dilution Timeline</w:t>
      </w:r>
    </w:p>
    <w:p>
      <w:pPr>
        <w:pStyle w:val="Heading3"/>
      </w:pPr>
      <w:r>
        <w:t xml:space="preserve">1. The genesis treasury is a single, public address.</w:t>
      </w:r>
    </w:p>
    <w:p>
      <w:pPr>
        <w:spacing w:after="160"/>
      </w:pPr>
      <w:r>
        <w:t xml:space="preserve">The June 2026 relaunch allocated 199,999,998 STONE in one coinbase output to: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SZNtmBMyx2Cr9VMrj5vk5EYTUn1naedu5N</w:t>
      </w:r>
    </w:p>
    <w:p>
      <w:pPr>
        <w:spacing w:after="160"/>
      </w:pPr>
      <w:r>
        <w:t xml:space="preserve">This is documented in our Development Journey and Economic Model white papers. We have not yet published a formal wallet-by-wallet disclosure tying rich-list entries to named entities — that is a gap we intend to close.</w:t>
      </w:r>
    </w:p>
    <w:p>
      <w:pPr>
        <w:pStyle w:val="Heading3"/>
      </w:pPr>
      <w:r>
        <w:t xml:space="preserve">2. Your “100 STONE/block for 4+ years” model understates near-term PoW issuance.</w:t>
      </w:r>
    </w:p>
    <w:p>
      <w:pPr>
        <w:spacing w:after="160"/>
      </w:pPr>
      <w:r>
        <w:t xml:space="preserve">Mainnet is still in era 0 at 100 STONE/block, but a scheduled consensus upgrade at block 12,000 raises the era-0 base to 1,000 STONE for the remainder of the era (blocks 12,000–1,054,079). Era 0 PoW issuance alone is projected at ~1.04 billion STONE — versus ~200M from the premine.</w:t>
      </w:r>
    </w:p>
    <w:p>
      <w:pPr>
        <w:spacing w:after="160"/>
      </w:pPr>
      <w:r>
        <w:t xml:space="preserve">Even if treasury wallets did not move, premine share of total supply after era 0 would fall toward ~16%, not ~50%+, before the first halving.</w:t>
      </w:r>
    </w:p>
    <w:p>
      <w:pPr>
        <w:spacing w:after="160"/>
      </w:pPr>
      <w:r>
        <w:t xml:space="preserve">Your directional concern (concentration matters for utility-token economics) is right; the timeline to meaningful dilution is shorter than a flat 100 STONE/block model suggests — provided PoW participation continues and treasury is not simply re-accumulating mined coins.</w:t>
      </w:r>
    </w:p>
    <w:p>
      <w:pPr>
        <w:spacing w:after="160"/>
      </w:pPr>
      <w:r>
        <w:t xml:space="preserve">We also hear the deeper point: dilution from mining ≠ decentralization of control if the same entities capture PoW payouts or treasury never disburses. Issuance alone is not enough.</w:t>
      </w:r>
    </w:p>
    <w:p>
      <w:r>
        <w:br w:type="page"/>
      </w:r>
    </w:p>
    <w:p>
      <w:pPr>
        <w:pStyle w:val="Heading1"/>
      </w:pPr>
      <w:r>
        <w:t xml:space="preserve">1. Treasury Strategy (~200M STONE)</w:t>
      </w:r>
    </w:p>
    <w:p>
      <w:pPr>
        <w:pStyle w:val="Heading2"/>
      </w:pPr>
      <w:r>
        <w:t xml:space="preserve">What Exists Today</w:t>
      </w:r>
    </w:p>
    <w:p>
      <w:pPr>
        <w:spacing w:after="160"/>
      </w:pPr>
      <w:r>
        <w:t xml:space="preserve">One genesis treasury output (~200M STONE). There is no on-chain automated vesting contract yet. Disbursement is operational, not trustlessly encoded.</w:t>
      </w:r>
    </w:p>
    <w:p>
      <w:pPr>
        <w:pStyle w:val="Heading2"/>
      </w:pPr>
      <w:r>
        <w:t xml:space="preserve">Planned Allocation Buckets (Working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&amp; core development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Node, pool, mesh coordinator, Android/desktop miners, security maintenance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Ecosystem grants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builders, LAN/mesh operators, storage replicators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programs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allocations for integrations (e.g. Blurt bulk storage quotas) paid from treasury or fresh issuance — not requiring partners to buy float from top holders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Liquidity / market making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needed when CEX/DEX routes exist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distribution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Faucets, onboarding, mesh replication rebates, mining participation</w:t>
            </w:r>
          </w:p>
        </w:tc>
      </w:tr>
    </w:tbl>
    <w:p>
      <w:pPr>
        <w:spacing w:after="160"/>
      </w:pPr>
      <w:r>
        <w:t xml:space="preserve">We agree a published treasury policy (addresses, buckets, and disbursement cadence) is a prerequisite for a serious storage partnership. We will prepare that as a short addendum to the Economic Model white paper.</w:t>
      </w:r>
    </w:p>
    <w:p>
      <w:pPr>
        <w:pStyle w:val="Heading1"/>
      </w:pPr>
      <w:r>
        <w:t xml:space="preserve">2. Decentralization Roadmap</w:t>
      </w:r>
    </w:p>
    <w:p>
      <w:pPr>
        <w:pStyle w:val="Heading2"/>
      </w:pPr>
      <w:r>
        <w:t xml:space="preserve">Mechanisms Already in Code or Operation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 issuance — multi-algorithm mining open to phones, browsers, CPUs, and ASICs via a unified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Per-address pool weight cap (75%) — no single payout address can hold more than three-quarters of an open 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Cross-algo subsidies (35%) — a block found on one algorithm shares STONE with miners on the others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Staking pool slice (1% of every block) — routes value to long-term stakers, not only active hashers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 / LAN participation — storage replication and local full nodes spread infrastructure beyond our VPS</w:t>
      </w:r>
    </w:p>
    <w:p>
      <w:pPr>
        <w:pStyle w:val="Heading2"/>
      </w:pPr>
      <w:r>
        <w:t xml:space="preserve">What We Are Committing to Publish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Treasury wallet labeling (team / foundation / operational / unallocated)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ranges for treasury disbursement over the next 12–24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Partner-facing structure so Blurt (or any integrator) can prepay storage in STONE via a designated outpost account without sourcing large blocks from the rich list</w:t>
      </w:r>
    </w:p>
    <w:p>
      <w:pPr>
        <w:spacing w:after="160"/>
      </w:pPr>
      <w:r>
        <w:t xml:space="preserve">Your path from 15% → 7% is a useful benchmark. We are not there yet on transparency or demonstrated outflow, and we do not want to pretend otherwise.</w:t>
      </w:r>
    </w:p>
    <w:p>
      <w:pPr>
        <w:pStyle w:val="Heading1"/>
      </w:pPr>
      <w:r>
        <w:t xml:space="preserve">3. Storage Economics — Avoiding “Captive Token” Dynamics</w:t>
      </w:r>
    </w:p>
    <w:p>
      <w:pPr>
        <w:spacing w:after="160"/>
      </w:pPr>
      <w:r>
        <w:t xml:space="preserve">If Blurt integrates STONE for mesh storage, we do not want you buying float exclusively from concentrated holders.</w:t>
      </w:r>
    </w:p>
    <w:p>
      <w:pPr>
        <w:pStyle w:val="Heading2"/>
      </w:pPr>
      <w:r>
        <w:t xml:space="preserve">Proposed Rails (Blurt Mesh Storage Partnership Draft)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partner quota — Blurt pays a monthly STONE amount (spot-equivalent to your current ~€22.80 / 1.2 TB benchmark) into a Bloodstone outpost; users receive quota without hitting the open market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BLURT → STONE memo rail — storage:&lt;STONE_ADDRESS&gt;:&lt;bytes&gt; so Blurt can fund storage without OTC purchases from whales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 replication rebates — STONE flows to peers who store chunks, not only to the coordinator</w:t>
      </w:r>
    </w:p>
    <w:p>
      <w:pPr>
        <w:pStyle w:val="Heading2"/>
      </w:pPr>
      <w:r>
        <w:t xml:space="preserve">Important Honesty</w:t>
      </w:r>
    </w:p>
    <w:p>
      <w:pPr>
        <w:spacing w:after="160"/>
      </w:pPr>
      <w:r>
        <w:t xml:space="preserve">Per-GB storage billing in STONE is proposed, not fully live in code today. Mesh coordination is operational; automated quota debits and peer replication incentives are on the roadmap. A partnership would help define those rules with a real customer — but we will not represent them as already trustless on-chain.</w:t>
      </w:r>
    </w:p>
    <w:p>
      <w:pPr>
        <w:pStyle w:val="Heading2"/>
      </w:pPr>
      <w:r>
        <w:t xml:space="preserve">Structural Protections for Blurt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Contracted bulk rate, not spot market dependency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to denominate invoices in BLURT with STONE credited at payment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requirement to accumulate STONE from the top three wallets</w:t>
      </w:r>
    </w:p>
    <w:p>
      <w:r>
        <w:br w:type="page"/>
      </w:r>
    </w:p>
    <w:p>
      <w:pPr>
        <w:pStyle w:val="Heading1"/>
      </w:pPr>
      <w:r>
        <w:t xml:space="preserve">4. 51% Attack Surface — Consensus vs Pool Economics</w:t>
      </w:r>
    </w:p>
    <w:p>
      <w:pPr>
        <w:spacing w:after="160"/>
      </w:pPr>
      <w:r>
        <w:t xml:space="preserve">This distinction matters: pool payout rules ≠ consensus security.</w:t>
      </w:r>
    </w:p>
    <w:p>
      <w:pPr>
        <w:pStyle w:val="Heading2"/>
      </w:pPr>
      <w:r>
        <w:t xml:space="preserve">What Bloodstone Inherits (SpaceXpanse / Xaya Multi-Algo Consensus)</w:t>
      </w:r>
    </w:p>
    <w:p>
      <w:pPr>
        <w:spacing w:after="160"/>
      </w:pPr>
      <w:r>
        <w:t xml:space="preserve">This is not a DigiByte geometric-mean clone. It is the Xaya triple-algo weighting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Per-algorithm 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Gravity retargeting runs on separate block streams per algo (GetNextWorkRequired only considers ancestors with the same PowAlgo)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Algorithm work weighting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powAlgoLog2Weight: SHA256d = 6, Neoscrypt = 10, Yespower = 22 — SHA256d work is deliberately down-weighted in cumulative chain work vs CPU algorithms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Cross-algo timing normalization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AvgTargetSpacing and GetBlockProofEquivalentTime combine contributions from all three consensus algos (~270s target per algo, ~80–90s between blocks overall)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Longest-work chain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chain is selected on weighted nChainWork, not raw SHA256 hashrate alone</w:t>
            </w:r>
          </w:p>
        </w:tc>
      </w:tr>
    </w:tbl>
    <w:p>
      <w:pPr>
        <w:spacing w:after="160"/>
      </w:pPr>
      <w:r>
        <w:t xml:space="preserve">We do not rely solely on the assumption that no single algorithm can be dominated. SHA256d dominance does not translate 1:1 into chain-work dominance the way it would on a single-algo SHA256 chain.</w:t>
      </w:r>
    </w:p>
    <w:p>
      <w:pPr>
        <w:pStyle w:val="Heading2"/>
      </w:pPr>
      <w:r>
        <w:t xml:space="preserve">What We Do Not Have Today</w:t>
      </w:r>
    </w:p>
    <w:p>
      <w:pPr>
        <w:spacing w:after="160"/>
      </w:pPr>
      <w:r>
        <w:t xml:space="preserve">DigiByte-style geometric mean difficulty adjustment as a separate, named layer. The Economic white paper’s cross-algo payout subsidies and even-share rebalancing are pool accounting — they affect who gets paid, not which fork wins.</w:t>
      </w:r>
    </w:p>
    <w:p>
      <w:pPr>
        <w:pStyle w:val="Heading2"/>
      </w:pPr>
      <w:r>
        <w:t xml:space="preserve">SHA256d / Rental-Hashrate Risk — Candid Assessment</w:t>
      </w:r>
    </w:p>
    <w:p>
      <w:pPr>
        <w:spacing w:after="160"/>
      </w:pPr>
      <w:r>
        <w:t xml:space="preserve">You are right that rented SHA256 hashrate is cheaper per unit than attacking Bitcoin. Mitigations today: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Down-weighted SHA256d chain work (consensus)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Independent per-algo difficulty floors/ceilings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Merge-mining (auxpow) path for SHA256 blocks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monitoring and operator visibility</w:t>
      </w:r>
    </w:p>
    <w:p>
      <w:pPr>
        <w:pStyle w:val="Heading2"/>
      </w:pPr>
      <w:r>
        <w:t xml:space="preserve">Roadmap Items We Are Open to Discussing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Publishing a security appendix with worked examples (e.g. “X% SHA256d + Y% Neoscrypt required to outpace tip”)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Stricter anchoring if SHA256d share of chain work (not just pool weight) exceeds thresholds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Incentivizing Neoscrypt/Yespower full-node share alongside ASIC LAN forwarding</w:t>
      </w:r>
    </w:p>
    <w:p>
      <w:pPr>
        <w:pStyle w:val="Heading2"/>
      </w:pPr>
      <w:r>
        <w:t xml:space="preserve">Note on “Four Algorithms”</w:t>
      </w:r>
    </w:p>
    <w:p>
      <w:pPr>
        <w:spacing w:after="160"/>
      </w:pPr>
      <w:r>
        <w:t xml:space="preserve">Consensus mainnet uses three PoW algorithms (SHA256d, Neoscrypt, Yespower). ROD Neoscrypt is a fourth pool lane for the auxiliary ROD chain — not a fourth independent consensus weight on Bloodstone mainnet.</w:t>
      </w:r>
    </w:p>
    <w:p>
      <w:pPr>
        <w:pStyle w:val="Heading1"/>
      </w:pPr>
      <w:r>
        <w:t xml:space="preserve">5. Transparency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premine 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SZNtmBMyx2Cr9VMrj5vk5EYTUn1naedu5N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— bloodstonewallet.mytunnel.org/#rich-list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Top-wallet entity labels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published — gap acknowledged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Lock-up / vesting 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on-chain — policy document 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 / issuance 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— Halving Schedule MD/DOCX + /mining/api/pool/subsidy-schedule</w:t>
            </w:r>
          </w:p>
        </w:tc>
      </w:tr>
    </w:tbl>
    <w:p>
      <w:pPr>
        <w:spacing w:after="160"/>
      </w:pPr>
      <w:r>
        <w:t xml:space="preserve">We will publish a Treasury &amp; Concentration Disclosure covering: known entities behind top addresses, intended use, and disbursement timeline.</w:t>
      </w:r>
    </w:p>
    <w:p>
      <w:pPr>
        <w:pStyle w:val="Heading1"/>
      </w:pPr>
      <w:r>
        <w:t xml:space="preserve">Our Intent Back to Blurt</w:t>
      </w:r>
    </w:p>
    <w:p>
      <w:pPr>
        <w:spacing w:after="160"/>
      </w:pPr>
      <w:r>
        <w:t xml:space="preserve">We are not asking you to accept concentration as permanent, or to trust pool cleverness instead of consensus review. We are saying: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Your economic concern is legitimate — and it matches concerns we have internally.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issuance curve is more dilutive than a flat 100 STONE model — but dilution alone is not decentralization.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Consensus is stronger than “hope no algo dominates” — with explicit per-algo retargeting and SHA256d down-weighting — but it is not identical to DigiByte’s geometric mean, and rented-hashrate risk deserves continued attention.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storage partnership should be structured so Blurt is not a price-taker from three wallets.</w:t>
      </w:r>
    </w:p>
    <w:p>
      <w:pPr>
        <w:spacing w:after="160"/>
      </w:pPr>
      <w:r>
        <w:t xml:space="preserve">We would welcome a follow-up call to walk through the consensus code paths (powdata.cpp, chain.cpp, pow.cpp) and to co-design treasury disbursement + Blurt bulk-storage rails so the economic foundation catches up to the technical one.</w:t>
      </w:r>
    </w:p>
    <w:p>
      <w:r>
        <w:br w:type="page"/>
      </w:r>
    </w:p>
    <w:p>
      <w:pPr>
        <w:pStyle w:val="Heading1"/>
      </w:pPr>
      <w:r>
        <w:t xml:space="preserve">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Economic Model White Paper (July 2026)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https://bloodstonewallet.mytunnel.org/downloads/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Halving 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https://bloodstonewallet.mytunnel.org/downloads/Bloodstone-Halving-Schedule.md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Mesh Storage Partnership draft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https://bloodstonewallet.mytunnel.org/downloads/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Journey white paper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https://bloodstonewallet.mytunnel.org/downloads/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rich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https://bloodstonewallet.mytunnel.org/#rich-list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Subsidy schedule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https://bloodstonewallet.mytunnel.org/mining/api/pool/subsidy-schedule</w:t>
            </w:r>
          </w:p>
        </w:tc>
      </w:tr>
    </w:tbl>
    <w:p>
      <w:pPr>
        <w:pStyle w:val="Heading2"/>
      </w:pPr>
      <w:r>
        <w:t xml:space="preserve">Blurt’s Cited On-Chain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 list at block ~9,687: supply ~200,968,698 STONE; top addresses ~30.27%, 25.43%, 22.39%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Economic Model white paper: genesis premine 199,999,998 STONE; 100 STONE/block era-0 (pre–block 12,000 fork)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white paper: four pool algorithms; three consensus PoW algorithms on mainnet</w:t>
      </w:r>
    </w:p>
    <w:p>
      <w:pPr>
        <w:spacing w:after="120"/>
      </w:pPr>
      <w:hyperlink w:history="1" r:id="rIdtduhlpefdwh8_jz93ucxt">
        <w:r>
          <w:rPr>
            <w:rStyle w:val="Hyperlink"/>
          </w:rPr>
          <w:t xml:space="preserve">Live rich list</w:t>
        </w:r>
      </w:hyperlink>
    </w:p>
    <w:p>
      <w:pPr>
        <w:spacing w:after="120"/>
      </w:pPr>
      <w:hyperlink w:history="1" r:id="rIdjmuxuzfsdvhdksjkasr0s">
        <w:r>
          <w:rPr>
            <w:rStyle w:val="Hyperlink"/>
          </w:rPr>
          <w:t xml:space="preserve">Subsidy schedule API</w:t>
        </w:r>
      </w:hyperlink>
    </w:p>
    <w:p>
      <w:pPr>
        <w:spacing w:after="120"/>
      </w:pPr>
      <w:hyperlink w:history="1" r:id="rIdyq9bigcmfrpgmsgyzkhdb">
        <w:r>
          <w:rPr>
            <w:rStyle w:val="Hyperlink"/>
          </w:rPr>
          <w:t xml:space="preserve">Bloodstone Halving Schedule</w:t>
        </w:r>
      </w:hyperlink>
    </w:p>
    <w:p>
      <w:pPr>
        <w:spacing w:before="400"/>
      </w:pPr>
      <w:r>
        <w:rPr>
          <w:i/>
          <w:iCs/>
          <w:sz w:val="20"/>
          <w:szCs w:val="20"/>
        </w:rPr>
        <w:t xml:space="preserve">Bloodstone · July 2026 · For partnership discussion with Blurt Core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Response to Blurt — Tokenomics &amp;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duhlpefdwh8_jz93ucxt" Type="http://schemas.openxmlformats.org/officeDocument/2006/relationships/hyperlink" Target="https://bloodstonewallet.mytunnel.org/#rich-list" TargetMode="External"/><Relationship Id="rIdjmuxuzfsdvhdksjkasr0s" Type="http://schemas.openxmlformats.org/officeDocument/2006/relationships/hyperlink" Target="https://bloodstonewallet.mytunnel.org/mining/api/pool/subsidy-schedule" TargetMode="External"/><Relationship Id="rIdyq9bigcmfrpgmsgyzkhdb" Type="http://schemas.openxmlformats.org/officeDocument/2006/relationships/hyperlink" Target="https://bloodstonewallet.mytunnel.org/downloads/Bloodstone-Halving-Schedul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2026-07-08T00:49:54.077Z</dcterms:created>
  <dcterms:modified xsi:type="dcterms:W3CDTF">2026-07-08T00:49:54.077Z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