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52"/>
          <w:szCs w:val="52"/>
        </w:rPr>
        <w:t xml:space="preserve">Bloodstone Halving Schedule</w:t>
      </w:r>
    </w:p>
    <w:p>
      <w:pPr>
        <w:spacing w:after="80"/>
        <w:jc w:val="center"/>
      </w:pPr>
      <w:r>
        <w:rPr>
          <w:sz w:val="28"/>
          <w:szCs w:val="28"/>
        </w:rPr>
        <w:t xml:space="preserve">STONE Proof-of-Work Issuance — Halving Eras, Inflation Phase, and Pool Alignment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July 2026 · v1.0 · bloodstonewallet.mytunnel.org</w:t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Bloodstone proof-of-work issuance follows a two-phase monetary schedule inherited from SpaceXpanse ROD consensus: five halving eras, then a long-run inflation phase (~2.956% growth per era), before PoW subsidies end at era 64.</w:t>
      </w:r>
    </w:p>
    <w:p>
      <w:pPr>
        <w:spacing w:after="160"/>
      </w:pPr>
      <w:r>
        <w:t xml:space="preserve">Bloodstone relaunched in June 2026 with a 100 STONE era-0 reward. A scheduled upgrade at block 12,000 raises the subsidy base to 1,000 STONE for all subsequent halving math. As of July 2026 (tip height ~9,626), the network is still in era 0 at 100 STONE per block.</w:t>
      </w:r>
    </w:p>
    <w:p>
      <w:pPr>
        <w:spacing w:after="160"/>
      </w:pPr>
      <w:r>
        <w:t xml:space="preserve">This document breaks down halving index math, the 1,000 STONE fork, era-by-era subsidy tables, inflation scaling, cumulative PoW supply, and how the unified mining pool aligns payouts with on-chain rewards.</w:t>
      </w:r>
    </w:p>
    <w:p>
      <w:pPr>
        <w:pStyle w:val="Heading1"/>
      </w:pPr>
      <w:r>
        <w:t xml:space="preserve">1. How the Halving Index Works</w:t>
      </w:r>
    </w:p>
    <w:p>
      <w:pPr>
        <w:pStyle w:val="Heading2"/>
      </w:pPr>
      <w:r>
        <w:t xml:space="preserve">1.1 Consensus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nSubsidyHalvingInterval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1,054,080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Blocks per era (~2.7 years at ~80 s block time)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initialSubsidy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/ 1,000 STONE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 and post-fork era-0 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Inflation factor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1.02956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~2.956% per era after era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Inflation base coins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1,833,823,998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Legacy ROD inflation curve anchor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Genesis premine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199,999,998 STONE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One-time treasury (not PoW)</w:t>
            </w:r>
          </w:p>
        </w:tc>
      </w:tr>
    </w:tbl>
    <w:p>
      <w:pPr>
        <w:spacing w:after="160"/>
      </w:pPr>
      <w:r>
        <w:t xml:space="preserve">Halving index (era) is computed as: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era = floor(blockHeight / 1,054,080)</w:t>
      </w:r>
    </w:p>
    <w:p>
      <w:pPr>
        <w:pStyle w:val="Heading2"/>
      </w:pPr>
      <w:r>
        <w:t xml:space="preserve">1.2 Halving phase (eras 0–4)</w:t>
      </w:r>
    </w:p>
    <w:p>
      <w:pPr>
        <w:spacing w:after="160"/>
      </w:pPr>
      <w:r>
        <w:t xml:space="preserve">For halving indices 0 through 4, the subsidy halves each era: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subsidy = effectiveInitialSubsidy &gt;&gt; era</w:t>
      </w:r>
    </w:p>
    <w:p>
      <w:pPr>
        <w:spacing w:after="160"/>
      </w:pPr>
      <w:r>
        <w:t xml:space="preserve">effectiveInitialSubsidy is 100 STONE for heights 1–11,999 and 1,000 STONE for heights ≥ 12,000 (the scheduled 1,000 STONE fork).</w:t>
      </w:r>
    </w:p>
    <w:p>
      <w:pPr>
        <w:pStyle w:val="Heading2"/>
      </w:pPr>
      <w:r>
        <w:t xml:space="preserve">1.3 Inflation phase (eras 5–63)</w:t>
      </w:r>
    </w:p>
    <w:p>
      <w:pPr>
        <w:spacing w:after="160"/>
      </w:pPr>
      <w:r>
        <w:t xml:space="preserve">From era 5 onward, the reward is no longer halved. Each era mints a calculated inflation tranche spread evenly across 1,054,080 blocks. When initial subsidy differs from legacy 800 ROD, issuance is scaled: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scale = effectiveInitialSubsidy / 800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subsidy = (inflationTranche / 1,054,080) × scale</w:t>
      </w:r>
    </w:p>
    <w:p>
      <w:pPr>
        <w:spacing w:after="160"/>
      </w:pPr>
      <w:r>
        <w:t xml:space="preserve">For the 1,000 STONE post-fork base, scale = 1.25. Era 64+: subsidy = 0 (PoW issuance ends).</w:t>
      </w:r>
    </w:p>
    <w:p>
      <w:r>
        <w:br w:type="page"/>
      </w:r>
    </w:p>
    <w:p>
      <w:pPr>
        <w:pStyle w:val="Heading1"/>
      </w:pPr>
      <w:r>
        <w:t xml:space="preserve">2. 1,000 STONE Fork at Block 12,000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Activation height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Pre-fork subsidy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STONE per block (heights 1–11,999)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Post-fork subsidy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1,000 STONE per block (heights ≥ 12,000, era 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Compatibility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pre-fork blocks remain valid; no genesis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Halving math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Eras 1–4 halve from the 1,000 STONE base</w:t>
            </w:r>
          </w:p>
        </w:tc>
      </w:tr>
    </w:tbl>
    <w:p>
      <w:pPr>
        <w:pStyle w:val="Heading2"/>
      </w:pPr>
      <w:r>
        <w:t xml:space="preserve">2.1 Era 0 minting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Blocks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STONE minted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Pre-fork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– 11,999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STONE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1,199,900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Post-fork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12,000 – 1,054,079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1,000 STONE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1,042,080,000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Era 0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1,054,080 PoW blocks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~1.043 billion STONE</w:t>
            </w:r>
          </w:p>
        </w:tc>
      </w:tr>
    </w:tbl>
    <w:p>
      <w:pPr>
        <w:pStyle w:val="Heading1"/>
      </w:pPr>
      <w:r>
        <w:t xml:space="preserve">3. Halving Schedule — Eras 0–4</w:t>
      </w:r>
    </w:p>
    <w:p>
      <w:pPr>
        <w:spacing w:after="160"/>
      </w:pPr>
      <w:r>
        <w:t xml:space="preserve">Approximate calendar years assume ~80 s mean block time from the June 2026 genesis. Era 0 uses 100 STONE until block 12,000, then 1,000 STONE for the remainder of the era.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500"/>
        <w:gridCol w:w="1100"/>
        <w:gridCol w:w="1400"/>
        <w:gridCol w:w="10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block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Subsidy / block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STONE / era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Approx. year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→ 1,000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Halving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~1.043 B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1,054,080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Halving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~528 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~2029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2,108,160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Halving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~265 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~2031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3,162,240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Halving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~132 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~2034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4,216,320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Halving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~66 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~2037</w:t>
            </w:r>
          </w:p>
        </w:tc>
      </w:tr>
    </w:tbl>
    <w:p>
      <w:pPr>
        <w:pStyle w:val="Heading2"/>
      </w:pPr>
      <w:r>
        <w:t xml:space="preserve">3.1 Milestones from current tip (~9,626)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Block height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Blocks remaining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1,000 STONE fork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~2,374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Era 1 halving (500 STONE)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1,054,080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~1,044,454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Era 5 inflation begins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5,270,400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~5,260,774</w:t>
            </w:r>
          </w:p>
        </w:tc>
      </w:tr>
    </w:tbl>
    <w:p>
      <w:pPr>
        <w:pStyle w:val="Heading1"/>
      </w:pPr>
      <w:r>
        <w:t xml:space="preserve">4. Inflation Phase — Eras 5+</w:t>
      </w:r>
    </w:p>
    <w:p>
      <w:pPr>
        <w:spacing w:after="160"/>
      </w:pPr>
      <w:r>
        <w:t xml:space="preserve">At block 5,270,400 (era 5), halving stops and inflation begins. With the 1,000 STONE base and scale factor 1.25, projected subsidies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800"/>
        <w:gridCol w:w="1400"/>
        <w:gridCol w:w="1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Subsidy / block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STONE / era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Approx. year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5,270,400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~66.19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~70 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~2039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6,324,480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~68.14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~72 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~2042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7,378,560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~70.15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~74 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~2045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8,432,640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~72.23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~76 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~2047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9,486,720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~74.36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~78 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~2050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10,540,800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~76.56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~81 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~2053</w:t>
            </w:r>
          </w:p>
        </w:tc>
      </w:tr>
    </w:tbl>
    <w:p>
      <w:pPr>
        <w:spacing w:after="160"/>
      </w:pPr>
      <w:r>
        <w:t xml:space="preserve">Eras 5–63 continue with ~2.956% growth per era. Era 64+ ends PoW issuance.</w:t>
      </w:r>
    </w:p>
    <w:p>
      <w:pPr>
        <w:pStyle w:val="Heading2"/>
      </w:pPr>
      <w:r>
        <w:t xml:space="preserve">4.1 Chain vs projected at era 5 (Bloodstone Core 0.7.0)</w:t>
      </w:r>
    </w:p>
    <w:p>
      <w:pPr>
        <w:spacing w:after="160"/>
      </w:pPr>
      <w:r>
        <w:t xml:space="preserve">Without the 0.7.0 inflation-scaling fix, on-chain era-5 subsidy would follow the unscaled legacy ROD curve. Bloodstone Core 0.7.0 scales inflation when initialSubsidy &lt; 800 STONE.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On-chain (pre-0.7.0)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Projected (0.7.0 scaled)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~52.95 STONE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~66.19 STONE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~54.51 STONE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~68.14 STONE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~56.12 STONE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~70.15 STONE</w:t>
            </w:r>
          </w:p>
        </w:tc>
      </w:tr>
    </w:tbl>
    <w:p>
      <w:pPr>
        <w:spacing w:after="160"/>
      </w:pPr>
      <w:r>
        <w:rPr>
          <w:b/>
          <w:bCs/>
        </w:rPr>
        <w:t xml:space="preserve">Recommendation: Deploy Bloodstone Core 0.7.0 network-wide before block 5,270,400.</w:t>
      </w:r>
    </w:p>
    <w:p>
      <w:r>
        <w:br w:type="page"/>
      </w:r>
    </w:p>
    <w:p>
      <w:pPr>
        <w:pStyle w:val="Heading1"/>
      </w:pPr>
      <w:r>
        <w:t xml:space="preserve">5. Cumulative PoW Supply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Genesis premine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199,999,998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Era 0 PoW (with 1,000 fork)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~1,043,000,000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Eras 1–4 PoW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~991,000,000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Eras 5–14 PoW (inflation)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~799,000,000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Cumulative after era 14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~3.03 billion STONE</w:t>
            </w:r>
          </w:p>
        </w:tc>
      </w:tr>
    </w:tbl>
    <w:p>
      <w:pPr>
        <w:spacing w:after="160"/>
      </w:pPr>
      <w:r>
        <w:t xml:space="preserve">PoW issuance dominates long-run supply growth; the premine is a fixed one-time allocation.</w:t>
      </w:r>
    </w:p>
    <w:p>
      <w:pPr>
        <w:pStyle w:val="Heading1"/>
      </w:pPr>
      <w:r>
        <w:t xml:space="preserve">6. Pool and Miner Alignment</w:t>
      </w:r>
    </w:p>
    <w:p>
      <w:pPr>
        <w:spacing w:after="160"/>
      </w:pPr>
      <w:r>
        <w:t xml:space="preserve">The unified mining pool reads the on-chain subsidy at each block height when crediting miners: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pool_block_subsidy.py — mirrors GetBlockSubsidy(); queries getblockstats via RPC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pool_db.distribute_block() — credits miners using actual coinbase subsidy + fees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— halving era, next halving height, subsidy projections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— GET /mining/api/pool/subsidy-schedule</w:t>
      </w:r>
    </w:p>
    <w:p>
      <w:pPr>
        <w:spacing w:after="160"/>
      </w:pPr>
      <w:r>
        <w:t xml:space="preserve">Miner impact at halvings: gross per-block pool revenue drops ~50% at each era boundary (eras 0–4). Dashboard estimates update automatically; no stratum or wallet changes required.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bloodstone-cli getblockstats &lt;height&gt; '["subsidy"]'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curl -sS "https://bloodstonewallet.mytunnel.org/mining/api/pool/subsidy-schedule" | python3 -m json.tool</w:t>
      </w:r>
    </w:p>
    <w:p>
      <w:pPr>
        <w:pStyle w:val="Heading1"/>
      </w:pPr>
      <w:r>
        <w:t xml:space="preserve">7. Related Documentation</w:t>
      </w:r>
    </w:p>
    <w:p>
      <w:pPr>
        <w:spacing w:after="120"/>
      </w:pPr>
      <w:hyperlink w:history="1" r:id="rIdbkzoiyxqxinxg8omb1x46">
        <w:r>
          <w:rPr>
            <w:rStyle w:val="Hyperlink"/>
          </w:rPr>
          <w:t xml:space="preserve">Bloodstone Economic Model White Paper</w:t>
        </w:r>
      </w:hyperlink>
    </w:p>
    <w:p>
      <w:pPr>
        <w:spacing w:after="120"/>
      </w:pPr>
      <w:hyperlink w:history="1" r:id="rIdbzjkvdkcr56hcfwcpv4q8">
        <w:r>
          <w:rPr>
            <w:rStyle w:val="Hyperlink"/>
          </w:rPr>
          <w:t xml:space="preserve">Subsidy Fork Release Notes (0.7.0)</w:t>
        </w:r>
      </w:hyperlink>
    </w:p>
    <w:p>
      <w:pPr>
        <w:spacing w:after="120"/>
      </w:pPr>
      <w:hyperlink w:history="1" r:id="rIdg0npmffzuputyynbxmzbp">
        <w:r>
          <w:rPr>
            <w:rStyle w:val="Hyperlink"/>
          </w:rPr>
          <w:t xml:space="preserve">Subsidy Fork 1000 STONE White Paper</w:t>
        </w:r>
      </w:hyperlink>
    </w:p>
    <w:p>
      <w:pPr>
        <w:spacing w:after="120"/>
      </w:pPr>
      <w:hyperlink w:history="1" r:id="rIdibr2x_zif-jy_01ep7l7p">
        <w:r>
          <w:rPr>
            <w:rStyle w:val="Hyperlink"/>
          </w:rPr>
          <w:t xml:space="preserve">Mining dashboard</w:t>
        </w:r>
      </w:hyperlink>
    </w:p>
    <w:p>
      <w:pPr>
        <w:spacing w:after="120"/>
      </w:pPr>
      <w:hyperlink w:history="1" r:id="rIdblwrxv8xu93a5nr4rb3ik">
        <w:r>
          <w:rPr>
            <w:rStyle w:val="Hyperlink"/>
          </w:rPr>
          <w:t xml:space="preserve">Live subsidy schedule API</w:t>
        </w:r>
      </w:hyperlink>
    </w:p>
    <w:p>
      <w:pPr>
        <w:spacing w:after="160"/>
      </w:pPr>
      <w:r>
        <w:rPr>
          <w:i/>
          <w:iCs/>
          <w:sz w:val="20"/>
          <w:szCs w:val="20"/>
        </w:rPr>
        <w:t xml:space="preserve">Document generated July 2026. Use the subsidy-schedule API for current tip height and rewards.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8"/>
        <w:szCs w:val="18"/>
      </w:rPr>
      <w:t xml:space="preserve">Bloodstone Halving Schedule — STONE Issuance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kzoiyxqxinxg8omb1x46" Type="http://schemas.openxmlformats.org/officeDocument/2006/relationships/hyperlink" Target="https://bloodstonewallet.mytunnel.org/downloads/Bloodstone-Economic-Model-White-Paper.docx" TargetMode="External"/><Relationship Id="rIdbzjkvdkcr56hcfwcpv4q8" Type="http://schemas.openxmlformats.org/officeDocument/2006/relationships/hyperlink" Target="https://bloodstonewallet.mytunnel.org/downloads/Bloodstone-Subsidy-Fork-Release-Notes.docx" TargetMode="External"/><Relationship Id="rIdg0npmffzuputyynbxmzbp" Type="http://schemas.openxmlformats.org/officeDocument/2006/relationships/hyperlink" Target="https://bloodstonewallet.mytunnel.org/downloads/Bloodstone-Subsidy-Fork-1000-White-Paper.docx" TargetMode="External"/><Relationship Id="rIdibr2x_zif-jy_01ep7l7p" Type="http://schemas.openxmlformats.org/officeDocument/2006/relationships/hyperlink" Target="https://bloodstonewallet.mytunnel.org/mining/" TargetMode="External"/><Relationship Id="rIdblwrxv8xu93a5nr4rb3ik" Type="http://schemas.openxmlformats.org/officeDocument/2006/relationships/hyperlink" Target="https://bloodstonewallet.mytunnel.org/mining/api/pool/subsidy-schedule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2026-07-07T18:22:30.259Z</dcterms:created>
  <dcterms:modified xsi:type="dcterms:W3CDTF">2026-07-07T18:22:30.259Z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