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8"/>
          <w:szCs w:val="48"/>
        </w:rPr>
        <w:t xml:space="preserve">Bloodstone Treasury &amp; Concentration Disclosure</w:t>
      </w:r>
    </w:p>
    <w:p>
      <w:pPr>
        <w:spacing w:after="80"/>
        <w:jc w:val="center"/>
      </w:pPr>
      <w:r>
        <w:rPr>
          <w:sz w:val="28"/>
          <w:szCs w:val="28"/>
        </w:rPr>
        <w:t xml:space="preserve">Addendum to the Economic Model White Paper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July 2026 · v1.0 (draft) · Snapshot height 9,704</w:t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t xml:space="preserve">Bloodstone launched in June 2026 with a 199,999,998 STONE genesis premine paid to a single public address. That output was spent and re-split into project-operational wallets during the first weeks of mainnet. As of block 9,704, on-chain supply is ~200.97 million STONE (~970,400 STONE from PoW at 100 STONE/block; the remainder is treasury-derived).</w:t>
      </w:r>
    </w:p>
    <w:p>
      <w:pPr>
        <w:spacing w:after="160"/>
      </w:pPr>
      <w:r>
        <w:t xml:space="preserve">Concentration today is high. The top three addresses hold ~77.1% of supply; the top ten hold ~96.0%. This reflects project treasury custody that has not yet been disbursed at scale — not a broad independent holder base.</w:t>
      </w:r>
    </w:p>
    <w:p>
      <w:pPr>
        <w:spacing w:after="160"/>
      </w:pPr>
      <w:r>
        <w:t xml:space="preserve">This addendum publishes genesis history, a labeled wallet registry, allocation buckets, a 12–24 month disbursement framework, and partner-facing rails. It does not claim on-chain vesting or trustless treasury contracts — those do not exist yet.</w:t>
      </w:r>
    </w:p>
    <w:p>
      <w:pPr>
        <w:pStyle w:val="Heading1"/>
      </w:pPr>
      <w:r>
        <w:t xml:space="preserve">1. Scope and Methodology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UTXO scan via Bloodstone Core RPC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Rich 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at bloodstonewallet.mytunnel.org/#rich-list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Supply basis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Sum of unspent outputs at tip (~200,970,398 STONE at height 9,704)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Wallet labels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Genesis docs, mine/webuser wallet exports, operational knowledge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cadence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Within 30 days of treasury moves ≥ 1M STONE, or quarterly</w:t>
            </w:r>
          </w:p>
        </w:tc>
      </w:tr>
    </w:tbl>
    <w:p>
      <w:pPr>
        <w:spacing w:after="160"/>
      </w:pPr>
      <w:r>
        <w:rPr>
          <w:i/>
          <w:iCs/>
        </w:rPr>
        <w:t xml:space="preserve">Limitation: Individual signatory names behind multi-key or offline custody are not included in v1.0. A v1.1 addendum will attach named controllers where legally permissible.</w:t>
      </w:r>
    </w:p>
    <w:p>
      <w:pPr>
        <w:pStyle w:val="Heading1"/>
      </w:pPr>
      <w:r>
        <w:t xml:space="preserve">2. Genesis Premine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199,999,998 STONE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Genesis 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SZNtmBMyx2Cr9VMrj5vk5EYTUn1naedu5N (P2PKH)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Genesis block hash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df04225074039e630dad825b24818a695462bd19cd585131a0568f50e9bf71d0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Coinbase message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22/Jun/2026: Bloodstone independent chain relaunch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Custody change vs ROD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P2PKH output instead of legacy 2-of-4 multisig</w:t>
            </w:r>
          </w:p>
        </w:tc>
      </w:tr>
    </w:tbl>
    <w:p>
      <w:pPr>
        <w:pStyle w:val="Heading2"/>
      </w:pPr>
      <w:r>
        <w:t xml:space="preserve">2.1 Post-Genesis Distribution</w:t>
      </w:r>
    </w:p>
    <w:p>
      <w:pPr>
        <w:spacing w:after="160"/>
      </w:pPr>
      <w:r>
        <w:t xml:space="preserve">The genesis address no longer appears in the top 25 by balance at height 9,704. The premine was moved into multiple project-operational addresses between genesis and block ~1,500. This was an operational split, not a public sale or airdrop. No on-chain vesting schedule was encoded at genesis.</w:t>
      </w:r>
    </w:p>
    <w:p>
      <w:pPr>
        <w:pStyle w:val="Heading1"/>
      </w:pPr>
      <w:r>
        <w:t xml:space="preserve">3. Concentration Snapshot (Height 9,704)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on-chain STONE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200,970,398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 minted (era 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~970,400 (~0.48% of supply)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Treasury-derived (approx.)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~200,000,000 (~99.5%)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Addresses with balance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49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 3 holders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77.09%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 10 holders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96.02%</w:t>
            </w:r>
          </w:p>
        </w:tc>
      </w:tr>
    </w:tbl>
    <w:p>
      <w:pPr>
        <w:pStyle w:val="Heading2"/>
      </w:pPr>
      <w:r>
        <w:t xml:space="preserve">3.1 Why This Matters for Partners</w:t>
      </w:r>
    </w:p>
    <w:p>
      <w:pPr>
        <w:spacing w:after="160"/>
      </w:pPr>
      <w:r>
        <w:t xml:space="preserve">High rich-list concentration primarily means undisbursed project treasury in cold and operational wallets. Partners should treat this as an economic risk until disbursement is visible on-chain — but the remedy is published outflows, not assuming OTC purchases from independent holders.</w:t>
      </w:r>
    </w:p>
    <w:p>
      <w:pPr>
        <w:pStyle w:val="Heading2"/>
      </w:pPr>
      <w:r>
        <w:t xml:space="preserve">3.2 Dilution vs Decentralization</w:t>
      </w:r>
    </w:p>
    <w:p>
      <w:pPr>
        <w:spacing w:after="160"/>
      </w:pPr>
      <w:r>
        <w:t xml:space="preserve">Era-0 PoW will mint ~1.04 billion STONE after the 1,000 STONE fork at block 12,000. If treasury wallets are static, premine share of total supply falls toward ~16% by end of era 0. Issuance alone does not decentralize control if the same entity captures PoW payouts or treasury never moves.</w:t>
      </w:r>
    </w:p>
    <w:p>
      <w:r>
        <w:br w:type="page"/>
      </w:r>
    </w:p>
    <w:p>
      <w:pPr>
        <w:pStyle w:val="Heading1"/>
      </w:pPr>
      <w:r>
        <w:t xml:space="preserve">4. Wallet Registry (Top Holders)</w:t>
      </w:r>
    </w:p>
    <w:p>
      <w:pPr>
        <w:spacing w:after="160"/>
      </w:pPr>
      <w:r>
        <w:t xml:space="preserve">Statuses: Cold = long-hold reserve; Operational = day-to-day disbursement; Earmarked = allocated bucket; Spent = genesis fully distributed.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100"/>
        <w:gridCol w:w="900"/>
        <w:gridCol w:w="2200"/>
        <w:gridCol w:w="1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Address (short)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Balance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% supply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Label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Bucket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SZNtmBMyx2Cr9VMrj5vk5EYTUn1naedu5N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Genesis premine (historical)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SaYQKHQrRMnjtbupzi1Bb9oEWe1rHf1jkk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60.8M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30.27%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Treasury cold (webuser3)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treasury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SkAsaotDaF2y8KqJdZaFs9hnpwmaCA7Equ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51.1M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25.43%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Infrastructure reserve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Infrastructure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SPWDbxeVc9BGUepmT5FDECTKr8ucdu91Hh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45.0M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22.39%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Operational (webuser2)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Partner + ecosystem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SarFkPCFripGoPSy6jKag8fYsKiMQhfP3L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11.0M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5.47%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Grants (webuser7)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grants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SNK6tDSHYVybJt5HTj5BSwb1PYhoSuZAz6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8.0M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Operational reserve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Infrastructure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6–9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(5M tranches)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~19.0M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~9.5%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Treasury sub-allocations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Grants / partners / liquidity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SbqzoTuDp5ozPWCyj3ykY72TS6Wzk3YArB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Operational float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SNQ2mNsQSumv1P4QdiDqYz5sjCwdDTnbWV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66.6K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Pool operator (mine)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Pool ops</w:t>
            </w:r>
          </w:p>
        </w:tc>
      </w:tr>
    </w:tbl>
    <w:p>
      <w:pPr>
        <w:spacing w:after="160"/>
      </w:pPr>
      <w:r>
        <w:rPr>
          <w:i/>
          <w:iCs/>
        </w:rPr>
        <w:t xml:space="preserve">Note: Ranks 2 and 5 are not in published wallet exports; labeled from operational custody mapping. Signatory attribution deferred to v1.1.</w:t>
      </w:r>
    </w:p>
    <w:p>
      <w:pPr>
        <w:pStyle w:val="Heading1"/>
      </w:pPr>
      <w:r>
        <w:t xml:space="preserve">5. Allocation Buckets (Policy Framework)</w:t>
      </w:r>
    </w:p>
    <w:p>
      <w:pPr>
        <w:spacing w:after="160"/>
      </w:pPr>
      <w:r>
        <w:t xml:space="preserve">Total treasury envelope: ~200M STONE (genesis premine, now distributed across registry wallets).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Bucket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 % of premine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Primary wallets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Infrastructure &amp; core development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25–30%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Node, pool, mesh, miners, security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Ranks 2,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Ecosystem grants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15–20%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Builders, mesh operators, replicators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Ranks 6–7,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Partner programs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15–20%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Bulk storage quotas, integrators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Ranks 3, 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distribution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10–15%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Faucets, rebates, mining incentives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Ranks 4, 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Liquidity / market making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5–10%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CEX/DEX when live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Rank 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treasury — unallocated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15–25%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Strategic reserve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Rank 1</w:t>
            </w:r>
          </w:p>
        </w:tc>
      </w:tr>
    </w:tbl>
    <w:p>
      <w:pPr>
        <w:spacing w:after="160"/>
      </w:pPr>
      <w:r>
        <w:rPr>
          <w:i/>
          <w:iCs/>
        </w:rPr>
        <w:t xml:space="preserve">These are target ranges, not on-chain locks.</w:t>
      </w:r>
    </w:p>
    <w:p>
      <w:pPr>
        <w:pStyle w:val="Heading1"/>
      </w:pPr>
      <w:r>
        <w:t xml:space="preserve">6. Disbursement Plan (12–24 Months)</w:t>
      </w:r>
    </w:p>
    <w:p>
      <w:pPr>
        <w:pStyle w:val="Heading2"/>
      </w:pPr>
      <w:r>
        <w:t xml:space="preserve">6.1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silent re-concentration — treasury moves ≥ 1M STONE are announced with destination label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Partner-first rails — integrators receive STONE from designated outposts, not OTC cold reserves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Measurable reduction — track top-3 and top-10 % of supply each quarter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Blurt benchmark — reduce spot-float dependence before bulk storage invoices go live</w:t>
      </w:r>
    </w:p>
    <w:p>
      <w:pPr>
        <w:pStyle w:val="Heading2"/>
      </w:pPr>
      <w:r>
        <w:t xml:space="preserve">6.2 Quarterly Outflow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Period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 gross outflow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Q3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2–5M STONE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Mesh pilots, small grants, faucet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Q4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5–10M STONE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Partner outpost, ecosystem grants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H1 2027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15–25M STONE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Blurt bulk quota, mesh rebates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H2 2027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20–35M STONE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Partner programs, liquidity seeding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30–50M / year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Sustained grants + partner quotas</w:t>
            </w:r>
          </w:p>
        </w:tc>
      </w:tr>
    </w:tbl>
    <w:p>
      <w:pPr>
        <w:spacing w:after="160"/>
      </w:pPr>
      <w:r>
        <w:t xml:space="preserve">Cumulative target: ≥ 50M STONE disbursed by July 2027; ≥ 120M STONE by July 2028, subject to partnership cadence.</w:t>
      </w:r>
    </w:p>
    <w:p>
      <w:pPr>
        <w:pStyle w:val="Heading2"/>
      </w:pPr>
      <w:r>
        <w:t xml:space="preserve">6.3 Concentration Targets (Top-3 % of Supply)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 top-3 share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July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~77%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 — pre-disbursement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January 2027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65%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partner outpost flows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July 2027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55%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 dilution + ≥ 50M disbursed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July 2028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40%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Era-0 PoW &gt; 500M; policy mature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Partner Outpost Rail</w:t>
      </w:r>
    </w:p>
    <w:p>
      <w:pPr>
        <w:spacing w:after="160"/>
      </w:pPr>
      <w:r>
        <w:t xml:space="preserve">Integrators (including Blurt) should not source large STONE blocks from rich-list addresses on the open market.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Ring-fenced STONE for bulk storage quotas and BLURT→STONE memo credits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Funding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Rank 3 operational wallet and/or partner bucket (rank 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 be published before first production invoice (separate P2PKH)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BLURT memo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storage:&lt;STONE_ADDRESS&gt;:&lt;bytes&gt;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Monthly: opening balance, credits, debits, bytes stored</w:t>
            </w:r>
          </w:p>
        </w:tc>
      </w:tr>
    </w:tbl>
    <w:p>
      <w:pPr>
        <w:pStyle w:val="Heading1"/>
      </w:pPr>
      <w:r>
        <w:t xml:space="preserve">8. What Is Not On-Chain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Time-locked vesting contracts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deployed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Multisig treasury with published signers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deployed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On-chain bucket enforcement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deployed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per-GB storage debits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Proposed — billing rules in progress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Individual signatory names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Deferred to v1.1 (target Q4 2026)</w:t>
            </w:r>
          </w:p>
        </w:tc>
      </w:tr>
    </w:tbl>
    <w:p>
      <w:pPr>
        <w:pStyle w:val="Heading1"/>
      </w:pPr>
      <w:r>
        <w:t xml:space="preserve">9. Transparency Commitments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Commitment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Cadence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Rich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(~10 min TTL)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disclosure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Quarterly or within 30 days of major treasury moves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Treasury move 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TXIDs + labels for moves ≥ 1M STONE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Signatory disclosure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v1.1 by Q4 2026</w:t>
            </w:r>
          </w:p>
        </w:tc>
      </w:tr>
    </w:tbl>
    <w:p>
      <w:pPr>
        <w:pStyle w:val="Heading1"/>
      </w:pPr>
      <w:r>
        <w:t xml:space="preserve">10. Related Documents</w:t>
      </w:r>
    </w:p>
    <w:p>
      <w:pPr>
        <w:spacing w:after="120"/>
      </w:pPr>
      <w:hyperlink w:history="1" r:id="rIdoumkyh3e8ganm47h17tug">
        <w:r>
          <w:rPr>
            <w:rStyle w:val="Hyperlink"/>
          </w:rPr>
          <w:t xml:space="preserve">Economic Model White Paper</w:t>
        </w:r>
      </w:hyperlink>
    </w:p>
    <w:p>
      <w:pPr>
        <w:spacing w:after="120"/>
      </w:pPr>
      <w:hyperlink w:history="1" r:id="rIdc6qocbxdtr-n3dcch5yri">
        <w:r>
          <w:rPr>
            <w:rStyle w:val="Hyperlink"/>
          </w:rPr>
          <w:t xml:space="preserve">Blurt Partnership Response</w:t>
        </w:r>
      </w:hyperlink>
    </w:p>
    <w:p>
      <w:pPr>
        <w:spacing w:after="120"/>
      </w:pPr>
      <w:hyperlink w:history="1" r:id="rIdnosmo1jo4mgj1u1ekefh4">
        <w:r>
          <w:rPr>
            <w:rStyle w:val="Hyperlink"/>
          </w:rPr>
          <w:t xml:space="preserve">Halving Schedule</w:t>
        </w:r>
      </w:hyperlink>
    </w:p>
    <w:p>
      <w:pPr>
        <w:spacing w:after="120"/>
      </w:pPr>
      <w:hyperlink w:history="1" r:id="rIdirqj7vbovijljgsnmzwag">
        <w:r>
          <w:rPr>
            <w:rStyle w:val="Hyperlink"/>
          </w:rPr>
          <w:t xml:space="preserve">Live rich list</w:t>
        </w:r>
      </w:hyperlink>
    </w:p>
    <w:p>
      <w:pPr>
        <w:spacing w:after="120"/>
      </w:pPr>
      <w:hyperlink w:history="1" r:id="rIdeswwe61ksjmzhytjyz3re">
        <w:r>
          <w:rPr>
            <w:rStyle w:val="Hyperlink"/>
          </w:rPr>
          <w:t xml:space="preserve">Subsidy schedule API</w:t>
        </w:r>
      </w:hyperlink>
    </w:p>
    <w:p>
      <w:pPr>
        <w:spacing w:before="400"/>
      </w:pPr>
      <w:r>
        <w:rPr>
          <w:i/>
          <w:iCs/>
          <w:sz w:val="20"/>
          <w:szCs w:val="20"/>
        </w:rPr>
        <w:t xml:space="preserve">Bloodstone · July 2026 · Addendum v1.0 (draft)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8"/>
        <w:szCs w:val="18"/>
      </w:rPr>
      <w:t xml:space="preserve">Bloodstone Treasury &amp; Concentration Disclosure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1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umkyh3e8ganm47h17tug" Type="http://schemas.openxmlformats.org/officeDocument/2006/relationships/hyperlink" Target="https://bloodstonewallet.mytunnel.org/downloads/" TargetMode="External"/><Relationship Id="rIdc6qocbxdtr-n3dcch5yri" Type="http://schemas.openxmlformats.org/officeDocument/2006/relationships/hyperlink" Target="https://bloodstonewallet.mytunnel.org/downloads/Bloodstone-Blurt-Partnership-Response.md" TargetMode="External"/><Relationship Id="rIdnosmo1jo4mgj1u1ekefh4" Type="http://schemas.openxmlformats.org/officeDocument/2006/relationships/hyperlink" Target="https://bloodstonewallet.mytunnel.org/downloads/Bloodstone-Halving-Schedule.md" TargetMode="External"/><Relationship Id="rIdirqj7vbovijljgsnmzwag" Type="http://schemas.openxmlformats.org/officeDocument/2006/relationships/hyperlink" Target="https://bloodstonewallet.mytunnel.org/#rich-list" TargetMode="External"/><Relationship Id="rIdeswwe61ksjmzhytjyz3re" Type="http://schemas.openxmlformats.org/officeDocument/2006/relationships/hyperlink" Target="https://bloodstonewallet.mytunnel.org/mining/api/pool/subsidy-schedule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2026-07-08T00:58:14.896Z</dcterms:created>
  <dcterms:modified xsi:type="dcterms:W3CDTF">2026-07-08T00:58:14.896Z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