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40889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7568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92130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4258733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881349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7"/>
      <w:r>
        <w:drawing>
          <wp:inline>
            <wp:extent cx="5334000" cy="4258733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8"/>
      <w:r>
        <w:drawing>
          <wp:inline>
            <wp:extent cx="5334000" cy="1037918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9"/>
      <w:r>
        <w:drawing>
          <wp:inline>
            <wp:extent cx="5334000" cy="243685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10"/>
      <w:r>
        <w:drawing>
          <wp:inline>
            <wp:extent cx="5334000" cy="4098170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1"/>
      <w:r>
        <w:drawing>
          <wp:inline>
            <wp:extent cx="5334000" cy="1399379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2"/>
      <w:r>
        <w:drawing>
          <wp:inline>
            <wp:extent cx="5334000" cy="199911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3"/>
      <w:r>
        <w:drawing>
          <wp:inline>
            <wp:extent cx="5334000" cy="199911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4"/>
      <w:r>
        <w:drawing>
          <wp:inline>
            <wp:extent cx="5334000" cy="3239128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5"/>
      <w:r>
        <w:drawing>
          <wp:inline>
            <wp:extent cx="5334000" cy="1611795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6"/>
      <w:r>
        <w:drawing>
          <wp:inline>
            <wp:extent cx="5334000" cy="237506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7"/>
      <w:r>
        <w:drawing>
          <wp:inline>
            <wp:extent cx="5334000" cy="3567952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9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9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8"/>
      <w:r>
        <w:drawing>
          <wp:inline>
            <wp:extent cx="5334000" cy="3567952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9"/>
      <w:r>
        <w:drawing>
          <wp:inline>
            <wp:extent cx="5334000" cy="833717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9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FirstParagraph"/>
      </w:pPr>
      <w:bookmarkStart w:id="96" w:name="fig:020"/>
      <w:r>
        <w:t xml:space="preserve">Рис. 19: lab8-4.asm</w:t>
      </w:r>
      <w:bookmarkEnd w:id="96"/>
    </w:p>
    <w:p>
      <w:pPr>
        <w:pStyle w:val="BodyText"/>
      </w:pPr>
      <w:bookmarkStart w:id="97" w:name="fig:021"/>
      <w:r>
        <w:t xml:space="preserve">Рис. 20: Исполняемый файл</w:t>
      </w:r>
      <w:bookmarkEnd w:id="97"/>
    </w:p>
    <w:bookmarkEnd w:id="98"/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Петросян Эмиль Манукович</dc:creator>
  <dc:language>ru-RU</dc:language>
  <cp:keywords/>
  <dcterms:created xsi:type="dcterms:W3CDTF">2022-11-30T21:39:57Z</dcterms:created>
  <dcterms:modified xsi:type="dcterms:W3CDTF">2022-11-30T21:39:57Z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