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1440"/>
              <w:left w:type="dxa" w:w="720"/>
              <w:bottom w:type="dxa" w:w="1440"/>
              <w:right w:type="dxa" w:w="720"/>
            </w:tcMar>
          </w:tcPr>
          <w:p>
            <w:pPr>
              <w:spacing w:after="160" w:before="0"/>
              <w:jc w:val="center"/>
            </w:pPr>
            <w:r>
              <w:rPr>
                <w:rFonts w:ascii="Arial" w:cs="Arial" w:eastAsia="Arial" w:hAnsi="Arial"/>
                <w:b/>
                <w:bCs/>
                <w:color w:val="FFFFFF"/>
                <w:sz w:val="80"/>
                <w:szCs w:val="80"/>
              </w:rPr>
              <w:t xml:space="preserve">LOWLEADS</w:t>
            </w:r>
          </w:p>
          <w:p>
            <w:pPr>
              <w:spacing w:after="80" w:before="0"/>
              <w:jc w:val="center"/>
            </w:pPr>
            <w:r>
              <w:rPr>
                <w:rFonts w:ascii="Arial" w:cs="Arial" w:eastAsia="Arial" w:hAnsi="Arial"/>
                <w:color w:val="A7F3D0"/>
                <w:sz w:val="28"/>
                <w:szCs w:val="28"/>
              </w:rPr>
              <w:t xml:space="preserve">Full Production Architecture &amp; Engineering Specification</w:t>
            </w:r>
          </w:p>
          <w:p>
            <w:pPr>
              <w:spacing w:after="480" w:before="0"/>
              <w:jc w:val="center"/>
            </w:pPr>
            <w:r>
              <w:rPr>
                <w:rFonts w:ascii="Arial" w:cs="Arial" w:eastAsia="Arial" w:hAnsi="Arial"/>
                <w:i/>
                <w:iCs/>
                <w:color w:val="6EE7B7"/>
                <w:sz w:val="24"/>
                <w:szCs w:val="24"/>
              </w:rPr>
              <w:t xml:space="preserve">B2B Referral Marketplace — Phoenix Home Services</w:t>
            </w:r>
          </w:p>
          <w:p>
            <w:pPr>
              <w:spacing w:after="80" w:before="0"/>
              <w:jc w:val="center"/>
            </w:pPr>
            <w:r>
              <w:rPr>
                <w:rFonts w:ascii="Arial" w:cs="Arial" w:eastAsia="Arial" w:hAnsi="Arial"/>
                <w:b/>
                <w:bCs/>
                <w:color w:val="FCA5A5"/>
                <w:sz w:val="20"/>
                <w:szCs w:val="20"/>
              </w:rPr>
              <w:t xml:space="preserve">Classification: Confidential</w:t>
            </w:r>
          </w:p>
          <w:p>
            <w:pPr>
              <w:spacing w:after="0" w:before="0"/>
              <w:jc w:val="center"/>
            </w:pPr>
            <w:r>
              <w:rPr>
                <w:rFonts w:ascii="Arial" w:cs="Arial" w:eastAsia="Arial" w:hAnsi="Arial"/>
                <w:color w:val="94A3B8"/>
                <w:sz w:val="20"/>
                <w:szCs w:val="20"/>
              </w:rPr>
              <w:t xml:space="preserve">Version 1.0  |  April 28, 2026</w:t>
            </w:r>
          </w:p>
        </w:tc>
      </w:tr>
    </w:tbl>
    <w:p>
      <w:pPr>
        <w:spacing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Document Type</w:t>
            </w:r>
          </w:p>
        </w:tc>
        <w:tc>
          <w:tcPr>
            <w:tcW w:type="dxa" w:w="46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Production Engineering Specification</w:t>
            </w:r>
          </w:p>
        </w:tc>
      </w:tr>
      <w:tr>
        <w:tc>
          <w:tcPr>
            <w:tcW w:type="dxa" w:w="468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Prepared By</w:t>
            </w:r>
          </w:p>
        </w:tc>
        <w:tc>
          <w:tcPr>
            <w:tcW w:type="dxa" w:w="46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Lowleads Engineering Team</w:t>
            </w:r>
          </w:p>
        </w:tc>
      </w:tr>
      <w:tr>
        <w:tc>
          <w:tcPr>
            <w:tcW w:type="dxa" w:w="468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Security Posture</w:t>
            </w:r>
          </w:p>
        </w:tc>
        <w:tc>
          <w:tcPr>
            <w:tcW w:type="dxa" w:w="46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Zero Trust, OWASP Top 10 compliant, SOC 2 aligned</w:t>
            </w:r>
          </w:p>
        </w:tc>
      </w:tr>
      <w:tr>
        <w:tc>
          <w:tcPr>
            <w:tcW w:type="dxa" w:w="468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Scope</w:t>
            </w:r>
          </w:p>
        </w:tc>
        <w:tc>
          <w:tcPr>
            <w:tcW w:type="dxa" w:w="468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MVP — Phoenix Metro, Home Services vertical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01 — Executive Summary</w:t>
            </w:r>
          </w:p>
          <w:p>
            <w:pPr>
              <w:spacing w:after="0" w:before="0"/>
            </w:pPr>
            <w:r>
              <w:rPr>
                <w:rFonts w:ascii="Arial" w:cs="Arial" w:eastAsia="Arial" w:hAnsi="Arial"/>
                <w:color w:val="A7F3D0"/>
                <w:sz w:val="22"/>
                <w:szCs w:val="22"/>
              </w:rPr>
              <w:t xml:space="preserve">Product vision, core mechanics, and guiding principles</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Product Overview</w:t>
      </w:r>
    </w:p>
    <w:p>
      <w:pPr>
        <w:spacing w:after="120" w:before="80"/>
      </w:pPr>
      <w:r>
        <w:rPr>
          <w:rFonts w:ascii="Arial" w:cs="Arial" w:eastAsia="Arial" w:hAnsi="Arial"/>
          <w:color w:val="334155"/>
          <w:sz w:val="22"/>
          <w:szCs w:val="22"/>
        </w:rPr>
        <w:t xml:space="preserve">Lowleads is a B2B referral marketplace connecting home-service businesses in the Phoenix metro area. The platform enables companies — plumbers, roofers, electricians, drywallers, landscapers, and similar tradespeople — to monetize their inter-business relationships by submitting and receiving paid customer leads.</w:t>
      </w:r>
    </w:p>
    <w:p>
      <w:pPr>
        <w:spacing w:after="120" w:before="80"/>
      </w:pPr>
      <w:r>
        <w:rPr>
          <w:rFonts w:ascii="Arial" w:cs="Arial" w:eastAsia="Arial" w:hAnsi="Arial"/>
          <w:color w:val="334155"/>
          <w:sz w:val="22"/>
          <w:szCs w:val="22"/>
        </w:rPr>
        <w:t xml:space="preserve">Rather than competing for the same advertising dollars, Lowleads participants earn Customer Acquisition Cost-equivalent rewards for routing qualified customers to complementary businesses. A plumber who encounters a customer needing drywall repair submits that lead through Lowleads; when the drywaller closes the job, the plumber earns a cash reward funded from escrow.</w:t>
      </w:r>
    </w:p>
    <w:p>
      <w:pPr>
        <w:spacing w:before="80"/>
      </w:pPr>
      <w:r>
        <w:t xml:space="preserve"/>
      </w:r>
    </w:p>
    <w:p>
      <w:pPr>
        <w:pStyle w:val="Heading2"/>
        <w:spacing w:after="120" w:before="320"/>
      </w:pPr>
      <w:r>
        <w:rPr>
          <w:rFonts w:ascii="Arial" w:cs="Arial" w:eastAsia="Arial" w:hAnsi="Arial"/>
          <w:b/>
          <w:bCs/>
          <w:color w:val="0F6E56"/>
          <w:sz w:val="28"/>
          <w:szCs w:val="28"/>
        </w:rP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For lead senders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Monetize existing customer relationships. Earn 50% of the referral reward per closed lead.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For receiving companies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Acquire customers through trusted trade relationships at a known, pre-set cost — typically aligned with their Google Ads CPC.</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For Lowleads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Platform revenue via subscription tiers and a transaction fee on every escrow payout (4–8% depending on tier).</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Geographic focus (MVP)</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Phoenix, Arizona metro area — home services vertical only.</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Guiding Engineering Principles</w:t>
      </w:r>
    </w:p>
    <w:p>
      <w:pPr>
        <w:pStyle w:val="ListParagraph"/>
        <w:numPr>
          <w:ilvl w:val="0"/>
          <w:numId w:val="2"/>
        </w:numPr>
        <w:spacing w:after="40" w:before="40"/>
      </w:pPr>
      <w:r>
        <w:rPr>
          <w:rFonts w:ascii="Arial" w:cs="Arial" w:eastAsia="Arial" w:hAnsi="Arial"/>
          <w:b w:val="false"/>
          <w:bCs w:val="false"/>
          <w:color w:val="334155"/>
          <w:sz w:val="22"/>
          <w:szCs w:val="22"/>
        </w:rPr>
        <w:t xml:space="preserve">Security first: zero-trust architecture, OWASP Top 10 compliance, encrypted at rest and in transit, principle of least privilege throughout</w:t>
      </w:r>
    </w:p>
    <w:p>
      <w:pPr>
        <w:pStyle w:val="ListParagraph"/>
        <w:numPr>
          <w:ilvl w:val="0"/>
          <w:numId w:val="2"/>
        </w:numPr>
        <w:spacing w:after="40" w:before="40"/>
      </w:pPr>
      <w:r>
        <w:rPr>
          <w:rFonts w:ascii="Arial" w:cs="Arial" w:eastAsia="Arial" w:hAnsi="Arial"/>
          <w:b w:val="false"/>
          <w:bCs w:val="false"/>
          <w:color w:val="334155"/>
          <w:sz w:val="22"/>
          <w:szCs w:val="22"/>
        </w:rPr>
        <w:t xml:space="preserve">Scalability by design: horizontally scalable stateless services, event-driven async processing, database read replicas from day one</w:t>
      </w:r>
    </w:p>
    <w:p>
      <w:pPr>
        <w:pStyle w:val="ListParagraph"/>
        <w:numPr>
          <w:ilvl w:val="0"/>
          <w:numId w:val="2"/>
        </w:numPr>
        <w:spacing w:after="40" w:before="40"/>
      </w:pPr>
      <w:r>
        <w:rPr>
          <w:rFonts w:ascii="Arial" w:cs="Arial" w:eastAsia="Arial" w:hAnsi="Arial"/>
          <w:b w:val="false"/>
          <w:bCs w:val="false"/>
          <w:color w:val="334155"/>
          <w:sz w:val="22"/>
          <w:szCs w:val="22"/>
        </w:rPr>
        <w:t xml:space="preserve">Safety and trust: escrow-backed payments prevent fraud, audit logs for all financial events, anomaly detection on lead submission patterns</w:t>
      </w:r>
    </w:p>
    <w:p>
      <w:pPr>
        <w:pStyle w:val="ListParagraph"/>
        <w:numPr>
          <w:ilvl w:val="0"/>
          <w:numId w:val="2"/>
        </w:numPr>
        <w:spacing w:after="40" w:before="40"/>
      </w:pPr>
      <w:r>
        <w:rPr>
          <w:rFonts w:ascii="Arial" w:cs="Arial" w:eastAsia="Arial" w:hAnsi="Arial"/>
          <w:b w:val="false"/>
          <w:bCs w:val="false"/>
          <w:color w:val="334155"/>
          <w:sz w:val="22"/>
          <w:szCs w:val="22"/>
        </w:rPr>
        <w:t xml:space="preserve">Operational excellence: CI/CD pipelines, automated testing gates, infrastructure as code, runbook documentation for every service</w:t>
      </w:r>
    </w:p>
    <w:p>
      <w:pPr>
        <w:pStyle w:val="ListParagraph"/>
        <w:numPr>
          <w:ilvl w:val="0"/>
          <w:numId w:val="2"/>
        </w:numPr>
        <w:spacing w:after="40" w:before="40"/>
      </w:pPr>
      <w:r>
        <w:rPr>
          <w:rFonts w:ascii="Arial" w:cs="Arial" w:eastAsia="Arial" w:hAnsi="Arial"/>
          <w:b w:val="false"/>
          <w:bCs w:val="false"/>
          <w:color w:val="334155"/>
          <w:sz w:val="22"/>
          <w:szCs w:val="22"/>
        </w:rPr>
        <w:t xml:space="preserve">Privacy by design: PII minimized in transit, customer data access gated behind lead acceptance, CCPA-aligned data handling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02 — System Architecture</w:t>
            </w:r>
          </w:p>
          <w:p>
            <w:pPr>
              <w:spacing w:after="0" w:before="0"/>
            </w:pPr>
            <w:r>
              <w:rPr>
                <w:rFonts w:ascii="Arial" w:cs="Arial" w:eastAsia="Arial" w:hAnsi="Arial"/>
                <w:color w:val="A7F3D0"/>
                <w:sz w:val="22"/>
                <w:szCs w:val="22"/>
              </w:rPr>
              <w:t xml:space="preserve">Infrastructure topology, service boundaries, and technology choices</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Architecture Overview</w:t>
      </w:r>
    </w:p>
    <w:p>
      <w:pPr>
        <w:spacing w:after="120" w:before="80"/>
      </w:pPr>
      <w:r>
        <w:rPr>
          <w:rFonts w:ascii="Arial" w:cs="Arial" w:eastAsia="Arial" w:hAnsi="Arial"/>
          <w:color w:val="334155"/>
          <w:sz w:val="22"/>
          <w:szCs w:val="22"/>
        </w:rPr>
        <w:t xml:space="preserve">Lowleads is built on a modular monolith-first architecture designed to extract into microservices as load demands. This avoids premature distributed systems complexity while preserving clean service boundaries for future decomposition. All services communicate internally via well-defined interfaces and externally only through the API Gateway.</w:t>
      </w:r>
    </w:p>
    <w:p>
      <w:pPr>
        <w:spacing w:before="80"/>
      </w:pPr>
      <w:r>
        <w:t xml:space="preserve"/>
      </w:r>
    </w:p>
    <w:p>
      <w:pPr>
        <w:pStyle w:val="Heading2"/>
        <w:spacing w:after="120" w:before="320"/>
      </w:pPr>
      <w:r>
        <w:rPr>
          <w:rFonts w:ascii="Arial" w:cs="Arial" w:eastAsia="Arial" w:hAnsi="Arial"/>
          <w:b/>
          <w:bCs/>
          <w:color w:val="0F6E56"/>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Justification</w:t>
            </w:r>
          </w:p>
        </w:tc>
        <w:tc>
          <w:tcPr>
            <w:tcW w:type="dxa" w:w="27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Version / Notes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Runtime</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Node.js (TypeScript)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Type safety, ecosystem maturity, strong async I/O for real-time notifications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Node 20 LTS, TypeScript 5.x</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Web Framework</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Fastify</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Faster than Express, schema validation built-in, lower attack surface</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v4.x</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Frontend</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Next.js (React)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SSR for SEO, RSC for performance, App Router</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Next.js 14+</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Primary Database</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PostgreSQL</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ACID compliance critical for financial transactions and escrow state</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v16, managed RDS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Cache / Sessions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Redis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Session store, rate-limit counters, real-time pub/sub for notifications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v7, managed ElastiCache</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Queue / Jobs</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BullMQ (Redis-backed)</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Async job processing: emails, SMS, payout triggers, webhook retries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v5.x</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Search</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PostgreSQL Full-Text + pg_trgm</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Sufficient for MVP; migrate to Elasticsearch post-scale if needed</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Built-in extension</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File Storage</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AWS S3 + CloudFront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Logo uploads, documents — served via CDN with signed URLs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Versioning enabled</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Email</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AWS SES + Resend fallback</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Transactional email with delivery tracking; bounce handling automated</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SES primary</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SMS</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Twilio</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 invite SMS, notification alerts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Programmable Messaging API</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Payments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Connect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Escrow, platform fees, payouts to technicians and companies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Connect Express accounts</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JWT + Refresh Tokens + MFA</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Short-lived access tokens, secure refresh rotation, TOTP MFA for company owners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Argon2id for passwords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Infrastructure</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AWS (ECS Fargate)</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Container orchestration without Kubernetes overhead at MVP scale</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IaC via Terraform</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CDN / WAF</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AWS CloudFront + WAF</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DDoS mitigation, rate limiting at edge, geo-blocking capability</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Managed rules + custom</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Monitoring</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Datadog</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APM, logs, alerts, real user monitoring</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Agent-based + serverless</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CI/CD</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GitHub Actions</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Automated test, lint, security scan, and deploy pipeline</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OIDC with AWS, no long-lived secrets</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Service Boundaries</w:t>
      </w:r>
    </w:p>
    <w:p>
      <w:pPr>
        <w:spacing w:after="120" w:before="80"/>
      </w:pPr>
      <w:r>
        <w:rPr>
          <w:rFonts w:ascii="Arial" w:cs="Arial" w:eastAsia="Arial" w:hAnsi="Arial"/>
          <w:color w:val="334155"/>
          <w:sz w:val="22"/>
          <w:szCs w:val="22"/>
        </w:rPr>
        <w:t xml:space="preserve">The following logical services operate within the modular monolith, each with an isolated database schema and clearly defined API contracts: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Service</w:t>
            </w:r>
          </w:p>
        </w:tc>
        <w:tc>
          <w:tcPr>
            <w:tcW w:type="dxa" w:w="39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c>
          <w:tcPr>
            <w:tcW w:type="dxa" w:w="30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External Dependencies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Identity Service</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 sessions, MFA, password management, role enforcement</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Redis (sessions), Argon2id</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 Service</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 accounts, locations, subscriptions, partner networks</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(subscriptions)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Technician Service</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Technician profiles, stats, earnings history, bonus management</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 Service</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Listing Service</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Service listings, reward configuration, escrow funding, auto-replenish</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(escrow), Company Service</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 Service</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 creation, inbox management, status transitions, stat calculations</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Listing Service, Notification Service</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Escrow Service</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Funds held in escrow, payout triggers, fee deductions, Stripe events</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Connect, Audit Service</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Notification Service</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Email/SMS dispatch queue, delivery tracking, invite flows</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AWS SES, Twilio, BullMQ</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Search Service</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 and listing discovery, ranking algorithm, geo-filtering</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PostgreSQL FTS, Redis cache</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Audit Service</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Immutable event log for all financial and security events</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PostgreSQL (append-only table)</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Analytics Service</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Close rate computation, CAC estimation, technician leaderboards</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PostgreSQL read replica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03 — Database Schema</w:t>
            </w:r>
          </w:p>
          <w:p>
            <w:pPr>
              <w:spacing w:after="0" w:before="0"/>
            </w:pPr>
            <w:r>
              <w:rPr>
                <w:rFonts w:ascii="Arial" w:cs="Arial" w:eastAsia="Arial" w:hAnsi="Arial"/>
                <w:color w:val="A7F3D0"/>
                <w:sz w:val="22"/>
                <w:szCs w:val="22"/>
              </w:rPr>
              <w:t xml:space="preserve">PostgreSQL table definitions, relationships, and indexing strategy</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Schema Design Principles</w:t>
      </w:r>
    </w:p>
    <w:p>
      <w:pPr>
        <w:pStyle w:val="ListParagraph"/>
        <w:numPr>
          <w:ilvl w:val="0"/>
          <w:numId w:val="2"/>
        </w:numPr>
        <w:spacing w:after="40" w:before="40"/>
      </w:pPr>
      <w:r>
        <w:rPr>
          <w:rFonts w:ascii="Arial" w:cs="Arial" w:eastAsia="Arial" w:hAnsi="Arial"/>
          <w:b w:val="false"/>
          <w:bCs w:val="false"/>
          <w:color w:val="334155"/>
          <w:sz w:val="22"/>
          <w:szCs w:val="22"/>
        </w:rPr>
        <w:t xml:space="preserve">All primary keys are UUIDs (v4) — prevents enumeration attacks and supports future data federation</w:t>
      </w:r>
    </w:p>
    <w:p>
      <w:pPr>
        <w:pStyle w:val="ListParagraph"/>
        <w:numPr>
          <w:ilvl w:val="0"/>
          <w:numId w:val="2"/>
        </w:numPr>
        <w:spacing w:after="40" w:before="40"/>
      </w:pPr>
      <w:r>
        <w:rPr>
          <w:rFonts w:ascii="Arial" w:cs="Arial" w:eastAsia="Arial" w:hAnsi="Arial"/>
          <w:b w:val="false"/>
          <w:bCs w:val="false"/>
          <w:color w:val="334155"/>
          <w:sz w:val="22"/>
          <w:szCs w:val="22"/>
        </w:rPr>
        <w:t xml:space="preserve">All financial amounts stored as INTEGER cents — never FLOAT to avoid rounding errors</w:t>
      </w:r>
    </w:p>
    <w:p>
      <w:pPr>
        <w:pStyle w:val="ListParagraph"/>
        <w:numPr>
          <w:ilvl w:val="0"/>
          <w:numId w:val="2"/>
        </w:numPr>
        <w:spacing w:after="40" w:before="40"/>
      </w:pPr>
      <w:r>
        <w:rPr>
          <w:rFonts w:ascii="Arial" w:cs="Arial" w:eastAsia="Arial" w:hAnsi="Arial"/>
          <w:b w:val="false"/>
          <w:bCs w:val="false"/>
          <w:color w:val="334155"/>
          <w:sz w:val="22"/>
          <w:szCs w:val="22"/>
        </w:rPr>
        <w:t xml:space="preserve">Soft deletes on entities referenced by financial records — preserve audit trail integrity</w:t>
      </w:r>
    </w:p>
    <w:p>
      <w:pPr>
        <w:pStyle w:val="ListParagraph"/>
        <w:numPr>
          <w:ilvl w:val="0"/>
          <w:numId w:val="2"/>
        </w:numPr>
        <w:spacing w:after="40" w:before="40"/>
      </w:pPr>
      <w:r>
        <w:rPr>
          <w:rFonts w:ascii="Arial" w:cs="Arial" w:eastAsia="Arial" w:hAnsi="Arial"/>
          <w:b w:val="false"/>
          <w:bCs w:val="false"/>
          <w:color w:val="334155"/>
          <w:sz w:val="22"/>
          <w:szCs w:val="22"/>
        </w:rPr>
        <w:t xml:space="preserve">Row-level security (RLS) enabled — tenants cannot query across company boundaries</w:t>
      </w:r>
    </w:p>
    <w:p>
      <w:pPr>
        <w:pStyle w:val="ListParagraph"/>
        <w:numPr>
          <w:ilvl w:val="0"/>
          <w:numId w:val="2"/>
        </w:numPr>
        <w:spacing w:after="40" w:before="40"/>
      </w:pPr>
      <w:r>
        <w:rPr>
          <w:rFonts w:ascii="Arial" w:cs="Arial" w:eastAsia="Arial" w:hAnsi="Arial"/>
          <w:b w:val="false"/>
          <w:bCs w:val="false"/>
          <w:color w:val="334155"/>
          <w:sz w:val="22"/>
          <w:szCs w:val="22"/>
        </w:rPr>
        <w:t xml:space="preserve">All tables include created_at, updated_at, and deleted_at (nullable) columns</w:t>
      </w:r>
    </w:p>
    <w:p>
      <w:pPr>
        <w:spacing w:before="160"/>
      </w:pPr>
      <w:r>
        <w:t xml:space="preserve"/>
      </w:r>
    </w:p>
    <w:p>
      <w:pPr>
        <w:pStyle w:val="Heading2"/>
        <w:spacing w:after="120" w:before="320"/>
      </w:pPr>
      <w:r>
        <w:rPr>
          <w:rFonts w:ascii="Arial" w:cs="Arial" w:eastAsia="Arial" w:hAnsi="Arial"/>
          <w:b/>
          <w:bCs/>
          <w:color w:val="0F6E56"/>
          <w:sz w:val="28"/>
          <w:szCs w:val="28"/>
        </w:rPr>
        <w:t xml:space="preserve">Core Tables</w:t>
      </w:r>
    </w:p>
    <w:p>
      <w:pPr>
        <w:pStyle w:val="Heading3"/>
        <w:spacing w:after="80" w:before="240"/>
      </w:pPr>
      <w:r>
        <w:rPr>
          <w:rFonts w:ascii="Arial" w:cs="Arial" w:eastAsia="Arial" w:hAnsi="Arial"/>
          <w:b/>
          <w:bCs/>
          <w:color w:val="334155"/>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PRIMARY KEY DEFAULT gen_random_uuid()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email</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VARCHAR(255) UNIQUE NOT NULL</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email_verified_at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password_hash</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TEXT NOT NULL (Argon2id)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mfa_secret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TEXT (encrypted at rest via pgcrypto)</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mfa_enabled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BOOLEAN DEFAULT FALSE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role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ENUM(company_owner, technician) NOT NULL</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company_id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companies(id) ON DELETE RESTRICT</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last_login_at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login_attempts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SMALLINT DEFAULT 0</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locked_until</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 (brute force protection)</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created_at / updated_at / deleted_at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w:t>
            </w:r>
          </w:p>
        </w:tc>
      </w:tr>
    </w:tbl>
    <w:p>
      <w:pPr>
        <w:spacing w:before="120"/>
      </w:pPr>
      <w:r>
        <w:t xml:space="preserve"/>
      </w:r>
    </w:p>
    <w:p>
      <w:pPr>
        <w:pStyle w:val="Heading3"/>
        <w:spacing w:after="80" w:before="240"/>
      </w:pPr>
      <w:r>
        <w:rPr>
          <w:rFonts w:ascii="Arial" w:cs="Arial" w:eastAsia="Arial" w:hAnsi="Arial"/>
          <w:b/>
          <w:bCs/>
          <w:color w:val="334155"/>
          <w:sz w:val="24"/>
          <w:szCs w:val="24"/>
        </w:rPr>
        <w:t xml:space="preserve">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PRIMARY KEY</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parent_company_id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companies(id) (Enterprise multi-location)</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name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VARCHAR(255) NOT NULL</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slug</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VARCHAR(255) UNIQUE NOT NULL (URL-safe identifier)</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stripe_customer_id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VARCHAR(255) UNIQUE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stripe_connect_account_id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VARCHAR(255) UNIQUE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subscription_tier</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ENUM(free, pro, enterprise) DEFAULT free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subscription_status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ENUM(active, past_due, canceled, trialing)</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transaction_fee_bps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SMALLINT NOT NULL DEFAULT 800 (800 = 8.00%)</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escrow_balance_cents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NOT NULL DEFAULT 0</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service_area</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TEXT[] (Phoenix zip codes/regions)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verified_at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 (business verification)</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created_at / updated_at / deleted_at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w:t>
            </w:r>
          </w:p>
        </w:tc>
      </w:tr>
    </w:tbl>
    <w:p>
      <w:pPr>
        <w:spacing w:before="120"/>
      </w:pPr>
      <w:r>
        <w:t xml:space="preserve"/>
      </w:r>
    </w:p>
    <w:p>
      <w:pPr>
        <w:pStyle w:val="Heading3"/>
        <w:spacing w:after="80" w:before="240"/>
      </w:pPr>
      <w:r>
        <w:rPr>
          <w:rFonts w:ascii="Arial" w:cs="Arial" w:eastAsia="Arial" w:hAnsi="Arial"/>
          <w:b/>
          <w:bCs/>
          <w:color w:val="334155"/>
          <w:sz w:val="24"/>
          <w:szCs w:val="24"/>
        </w:rPr>
        <w:t xml:space="preserve">technicians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PRIMARY KEY</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user_id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UNIQUE REFERENCES users(id)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company_id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companies(id)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display_name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VARCHAR(255) NOT NULL</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total_leads_submitted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DEFAULT 0</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not_qualified_count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DEFAULT 0</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total_earned_cents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DEFAULT 0</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is_active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BOOLEAN DEFAULT TRUE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created_at / updated_at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w:t>
            </w:r>
          </w:p>
        </w:tc>
      </w:tr>
    </w:tbl>
    <w:p>
      <w:pPr>
        <w:spacing w:before="120"/>
      </w:pPr>
      <w:r>
        <w:t xml:space="preserve"/>
      </w:r>
    </w:p>
    <w:p>
      <w:pPr>
        <w:pStyle w:val="Heading3"/>
        <w:spacing w:after="80" w:before="240"/>
      </w:pPr>
      <w:r>
        <w:rPr>
          <w:rFonts w:ascii="Arial" w:cs="Arial" w:eastAsia="Arial" w:hAnsi="Arial"/>
          <w:b/>
          <w:bCs/>
          <w:color w:val="334155"/>
          <w:sz w:val="24"/>
          <w:szCs w:val="24"/>
        </w:rPr>
        <w:t xml:space="preserve">service_listings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PRIMARY KEY</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company_id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companies(id)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service_name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VARCHAR(255) NOT NULL</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service_category</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VARCHAR(100) (roofing, plumbing, drywall, etc.)</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description</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TEXT</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reward_cents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NOT NULL (full reward on Sale)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qualified_bonus_cents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DEFAULT 0 (optional No Sale bonus)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max_concurrent_sales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SMALLINT NOT NULL DEFAULT 1</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active_lead_count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SMALLINT DEFAULT 0 (enforces concurrent cap)</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escrow_reserved_cents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(reward_cents * max_concurrent_sales)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auto_replenish</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BOOLEAN DEFAULT FALSE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status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ENUM(draft, active, paused, archived)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tsvector_search</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TSVECTOR (auto-updated via trigger for FTS)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created_at / updated_at / deleted_at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w:t>
            </w:r>
          </w:p>
        </w:tc>
      </w:tr>
    </w:tbl>
    <w:p>
      <w:pPr>
        <w:spacing w:before="120"/>
      </w:pPr>
      <w:r>
        <w:t xml:space="preserve"/>
      </w:r>
    </w:p>
    <w:p>
      <w:pPr>
        <w:pStyle w:val="Heading3"/>
        <w:spacing w:after="80" w:before="240"/>
      </w:pPr>
      <w:r>
        <w:rPr>
          <w:rFonts w:ascii="Arial" w:cs="Arial" w:eastAsia="Arial" w:hAnsi="Arial"/>
          <w:b/>
          <w:bCs/>
          <w:color w:val="334155"/>
          <w:sz w:val="24"/>
          <w:szCs w:val="24"/>
        </w:rPr>
        <w:t xml:space="preserve">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PRIMARY KEY</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listing_id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service_listings(id)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receiving_company_id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companies(id)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submitter_user_id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users(id)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technician_id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technicians(id) (nullable if owner submits)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customer_first_name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VARCHAR(100) NOT NULL</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customer_last_initial</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CHAR(1) NOT NULL</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customer_phone_encrypted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TEXT NOT NULL (AES-256-GCM via pgcrypto)</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customer_email_encrypted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TEXT (AES-256-GCM via pgcrypto)</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notes_encrypted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TEXT (AES-256-GCM via pgcrypto)</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status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ENUM(pending, not_qualified, no_sale, sale) DEFAULT pending</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reward_cents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(snapshot at submission time)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qualified_bonus_cents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(snapshot at submission time)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viewed_at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 (when receiver first opened contact info)</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resolved_at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submitted_at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 DEFAULT NOW()</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created_at / updated_at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w:t>
            </w:r>
          </w:p>
        </w:tc>
      </w:tr>
    </w:tbl>
    <w:p>
      <w:pPr>
        <w:spacing w:before="120"/>
      </w:pPr>
      <w:r>
        <w:t xml:space="preserve"/>
      </w:r>
    </w:p>
    <w:p>
      <w:pPr>
        <w:pStyle w:val="Heading3"/>
        <w:spacing w:after="80" w:before="240"/>
      </w:pPr>
      <w:r>
        <w:rPr>
          <w:rFonts w:ascii="Arial" w:cs="Arial" w:eastAsia="Arial" w:hAnsi="Arial"/>
          <w:b/>
          <w:bCs/>
          <w:color w:val="334155"/>
          <w:sz w:val="24"/>
          <w:szCs w:val="24"/>
        </w:rPr>
        <w:t xml:space="preserve">escrow_transactions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PRIMARY KEY</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company_id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companies(id)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lead_id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 REFERENCES leads(id) (nullable for deposits/withdrawals)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type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ENUM(deposit, reserve, release, fee, refund, replenish)</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amount_cents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NOT NULL</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stripe_payment_intent_id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VARCHAR(255)</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stripe_transfer_id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VARCHAR(255)</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balance_after_cents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INTEGER NOT NULL (running balance snapshot)</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created_at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 DEFAULT NOW() (append-only, no updates)</w:t>
            </w:r>
          </w:p>
        </w:tc>
      </w:tr>
    </w:tbl>
    <w:p>
      <w:pPr>
        <w:spacing w:before="120"/>
      </w:pPr>
      <w:r>
        <w:t xml:space="preserve"/>
      </w:r>
    </w:p>
    <w:p>
      <w:pPr>
        <w:pStyle w:val="Heading3"/>
        <w:spacing w:after="80" w:before="240"/>
      </w:pPr>
      <w:r>
        <w:rPr>
          <w:rFonts w:ascii="Arial" w:cs="Arial" w:eastAsia="Arial" w:hAnsi="Arial"/>
          <w:b/>
          <w:bCs/>
          <w:color w:val="334155"/>
          <w:sz w:val="24"/>
          <w:szCs w:val="24"/>
        </w:rPr>
        <w:t xml:space="preserve">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BIGSERIAL PRIMARY KEY</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event_type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VARCHAR(100) NOT NULL (e.g. lead.status_changed, escrow.released)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actor_user_id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actor_ip</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INET</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target_resource_type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VARCHAR(100)</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target_resource_id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UUID</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payload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JSONB (sanitized — no PII)</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created_at</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TIMESTAMPTZ DEFAULT NOW() (append-only)</w:t>
            </w:r>
          </w:p>
        </w:tc>
      </w:tr>
    </w:tbl>
    <w:p>
      <w:pPr>
        <w:spacing w:before="120"/>
      </w:pPr>
      <w:r>
        <w:t xml:space="preserve"/>
      </w:r>
    </w:p>
    <w:p>
      <w:pPr>
        <w:pStyle w:val="Heading2"/>
        <w:spacing w:after="120" w:before="320"/>
      </w:pPr>
      <w:r>
        <w:rPr>
          <w:rFonts w:ascii="Arial" w:cs="Arial" w:eastAsia="Arial" w:hAnsi="Arial"/>
          <w:b/>
          <w:bCs/>
          <w:color w:val="0F6E56"/>
          <w:sz w:val="28"/>
          <w:szCs w:val="28"/>
        </w:rPr>
        <w:t xml:space="preserve">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Table</w:t>
            </w:r>
          </w:p>
        </w:tc>
        <w:tc>
          <w:tcPr>
            <w:tcW w:type="dxa" w:w="39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Index</w:t>
            </w:r>
          </w:p>
        </w:tc>
        <w:tc>
          <w:tcPr>
            <w:tcW w:type="dxa" w:w="30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idx_leads_receiving_company_status</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Inbox query: company inbox filtered by status</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leads</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idx_leads_submitted_at DESC</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LIFO sort on inbox</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idx_leads_technician_id</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Technician stats aggregation</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service_listings</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idx_listings_tsvector (GIN)</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Full-text search across service name and description</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service_listings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idx_listings_category_status</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Category-filtered search with active filter</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companies</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idx_companies_slug</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Unique slug lookups (invite flow)</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escrow_transactions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idx_escrow_company_created</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Payout history by company chronologically</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audit_log</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idx_audit_actor_created</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Security review: all actions by a user</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audit_log</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idx_audit_resource</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All events on a specific resource (composite index)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04 — Security Architecture</w:t>
            </w:r>
          </w:p>
          <w:p>
            <w:pPr>
              <w:spacing w:after="0" w:before="0"/>
            </w:pPr>
            <w:r>
              <w:rPr>
                <w:rFonts w:ascii="Arial" w:cs="Arial" w:eastAsia="Arial" w:hAnsi="Arial"/>
                <w:color w:val="A7F3D0"/>
                <w:sz w:val="22"/>
                <w:szCs w:val="22"/>
              </w:rPr>
              <w:t xml:space="preserve">Zero-trust model, OWASP compliance, threat mitigations, and data protection</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Threat Model</w:t>
      </w:r>
    </w:p>
    <w:p>
      <w:pPr>
        <w:spacing w:after="120" w:before="80"/>
      </w:pPr>
      <w:r>
        <w:rPr>
          <w:rFonts w:ascii="Arial" w:cs="Arial" w:eastAsia="Arial" w:hAnsi="Arial"/>
          <w:color w:val="334155"/>
          <w:sz w:val="22"/>
          <w:szCs w:val="22"/>
        </w:rPr>
        <w:t xml:space="preserve">The following threat categories are addressed explicitly in the Lowleads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Threat</w:t>
            </w:r>
          </w:p>
        </w:tc>
        <w:tc>
          <w:tcPr>
            <w:tcW w:type="dxa" w:w="39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Attack Vector</w:t>
            </w:r>
          </w:p>
        </w:tc>
        <w:tc>
          <w:tcPr>
            <w:tcW w:type="dxa" w:w="30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Account takeover</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Credential stuffing, brute force</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Argon2id hashing, account lockout after 5 attempts, MFA for owners, breached password check via HaveIBeenPwned API</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 fraud</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Fake leads submitted to drain escrow</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Rate limiting per technician, anomaly detection on submission velocity, manual review flag for outliers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PII exfiltration</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SQL injection, insider threat</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Customer contact data AES-256-GCM encrypted at rest, access only after lead acceptance, all access logged to audit table</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Payment manipulation</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Tampered webhook payloads from Stripe</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Webhook signature validation (Stripe-Signature header), all events idempotent via Stripe event ID</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Enumeration</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Probing numeric IDs to discover resources</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All PKs are UUID v4 — no sequential IDs exposed</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Privilege escalation</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Technician accessing company admin endpoints</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Role-based access control enforced at API middleware layer, not in business logic. PostgreSQL RLS as second layer.</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CSRF</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Cross-site request forgery on state-changing endpoints</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SameSite=Strict cookies, CSRF tokens on all mutation endpoints, custom request header required</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XSS</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Stored/reflected script injection</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CSP headers, DOMPurify on all user-generated content, React default escaping</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Denial of service</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API flood attacks</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CloudFront WAF rate limiting, per-IP and per-user-ID rate limits via Redis, 429 responses</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Dependency vulnerabilities</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Supply chain attacks via npm packages</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Dependabot automated PRs, npm audit in CI pipeline, lock file enforced</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Authentication &amp; Session Management</w:t>
      </w:r>
    </w:p>
    <w:p>
      <w:pPr>
        <w:pStyle w:val="ListParagraph"/>
        <w:numPr>
          <w:ilvl w:val="0"/>
          <w:numId w:val="2"/>
        </w:numPr>
        <w:spacing w:after="40" w:before="40"/>
      </w:pPr>
      <w:r>
        <w:rPr>
          <w:rFonts w:ascii="Arial" w:cs="Arial" w:eastAsia="Arial" w:hAnsi="Arial"/>
          <w:b w:val="false"/>
          <w:bCs w:val="false"/>
          <w:color w:val="334155"/>
          <w:sz w:val="22"/>
          <w:szCs w:val="22"/>
        </w:rPr>
        <w:t xml:space="preserve">Password hashing: Argon2id with memory=65536, iterations=3, parallelism=4 — resistant to GPU cracking</w:t>
      </w:r>
    </w:p>
    <w:p>
      <w:pPr>
        <w:pStyle w:val="ListParagraph"/>
        <w:numPr>
          <w:ilvl w:val="0"/>
          <w:numId w:val="2"/>
        </w:numPr>
        <w:spacing w:after="40" w:before="40"/>
      </w:pPr>
      <w:r>
        <w:rPr>
          <w:rFonts w:ascii="Arial" w:cs="Arial" w:eastAsia="Arial" w:hAnsi="Arial"/>
          <w:b w:val="false"/>
          <w:bCs w:val="false"/>
          <w:color w:val="334155"/>
          <w:sz w:val="22"/>
          <w:szCs w:val="22"/>
        </w:rPr>
        <w:t xml:space="preserve">Access tokens: JWT HS256, 15-minute expiry, signed with rotating secret stored in AWS Secrets Manager</w:t>
      </w:r>
    </w:p>
    <w:p>
      <w:pPr>
        <w:pStyle w:val="ListParagraph"/>
        <w:numPr>
          <w:ilvl w:val="0"/>
          <w:numId w:val="2"/>
        </w:numPr>
        <w:spacing w:after="40" w:before="40"/>
      </w:pPr>
      <w:r>
        <w:rPr>
          <w:rFonts w:ascii="Arial" w:cs="Arial" w:eastAsia="Arial" w:hAnsi="Arial"/>
          <w:b w:val="false"/>
          <w:bCs w:val="false"/>
          <w:color w:val="334155"/>
          <w:sz w:val="22"/>
          <w:szCs w:val="22"/>
        </w:rPr>
        <w:t xml:space="preserve">Refresh tokens: opaque 256-bit random token, stored as Argon2id hash in Redis with 7-day TTL. Single use — invalidated on each rotation</w:t>
      </w:r>
    </w:p>
    <w:p>
      <w:pPr>
        <w:pStyle w:val="ListParagraph"/>
        <w:numPr>
          <w:ilvl w:val="0"/>
          <w:numId w:val="2"/>
        </w:numPr>
        <w:spacing w:after="40" w:before="40"/>
      </w:pPr>
      <w:r>
        <w:rPr>
          <w:rFonts w:ascii="Arial" w:cs="Arial" w:eastAsia="Arial" w:hAnsi="Arial"/>
          <w:b w:val="false"/>
          <w:bCs w:val="false"/>
          <w:color w:val="334155"/>
          <w:sz w:val="22"/>
          <w:szCs w:val="22"/>
        </w:rPr>
        <w:t xml:space="preserve">MFA: TOTP (RFC 6238) mandatory for company_owner role. Backup codes hashed and stored. Recovery via email verification + identity confirmation</w:t>
      </w:r>
    </w:p>
    <w:p>
      <w:pPr>
        <w:pStyle w:val="ListParagraph"/>
        <w:numPr>
          <w:ilvl w:val="0"/>
          <w:numId w:val="2"/>
        </w:numPr>
        <w:spacing w:after="40" w:before="40"/>
      </w:pPr>
      <w:r>
        <w:rPr>
          <w:rFonts w:ascii="Arial" w:cs="Arial" w:eastAsia="Arial" w:hAnsi="Arial"/>
          <w:b w:val="false"/>
          <w:bCs w:val="false"/>
          <w:color w:val="334155"/>
          <w:sz w:val="22"/>
          <w:szCs w:val="22"/>
        </w:rPr>
        <w:t xml:space="preserve">Session invalidation: all active sessions invalidated on password change, email change, or suspicious activity detection</w:t>
      </w:r>
    </w:p>
    <w:p>
      <w:pPr>
        <w:pStyle w:val="ListParagraph"/>
        <w:numPr>
          <w:ilvl w:val="0"/>
          <w:numId w:val="2"/>
        </w:numPr>
        <w:spacing w:after="40" w:before="40"/>
      </w:pPr>
      <w:r>
        <w:rPr>
          <w:rFonts w:ascii="Arial" w:cs="Arial" w:eastAsia="Arial" w:hAnsi="Arial"/>
          <w:b w:val="false"/>
          <w:bCs w:val="false"/>
          <w:color w:val="334155"/>
          <w:sz w:val="22"/>
          <w:szCs w:val="22"/>
        </w:rPr>
        <w:t xml:space="preserve">Device fingerprinting: new device login triggers email alert to account owner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1"/>
              <w:left w:val="single" w:color="854F0B" w:sz="12"/>
              <w:bottom w:val="single" w:color="854F0B" w:sz="1"/>
              <w:right w:val="single" w:color="854F0B" w:sz="1"/>
            </w:tcBorders>
            <w:shd w:fill="FAEEDA" w:val="clear"/>
            <w:tcMar>
              <w:top w:type="dxa" w:w="120"/>
              <w:left w:type="dxa" w:w="180"/>
              <w:bottom w:type="dxa" w:w="120"/>
              <w:right w:type="dxa" w:w="180"/>
            </w:tcMar>
          </w:tcPr>
          <w:p>
            <w:pPr>
              <w:spacing w:after="40" w:before="0"/>
            </w:pPr>
            <w:r>
              <w:rPr>
                <w:rFonts w:ascii="Arial" w:cs="Arial" w:eastAsia="Arial" w:hAnsi="Arial"/>
                <w:b/>
                <w:bCs/>
                <w:color w:val="854F0B"/>
                <w:sz w:val="20"/>
                <w:szCs w:val="20"/>
              </w:rPr>
              <w:t xml:space="preserve">Brute Force Protection</w:t>
            </w:r>
          </w:p>
          <w:p>
            <w:pPr>
              <w:spacing w:after="0" w:before="0"/>
            </w:pPr>
            <w:r>
              <w:rPr>
                <w:rFonts w:ascii="Arial" w:cs="Arial" w:eastAsia="Arial" w:hAnsi="Arial"/>
                <w:color w:val="334155"/>
                <w:sz w:val="20"/>
                <w:szCs w:val="20"/>
              </w:rPr>
              <w:t xml:space="preserve">Login attempts tracked per user ID and per IP address independently. After 5 failed attempts on a user ID, account is locked for 15 minutes (exponential backoff on repeat lockouts). After 20 failed attempts from a single IP within 10 minutes, the IP is blocked at the Redis rate limiter layer for 1 hour. All lockout events are written to the audit log.</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Data Protection</w:t>
      </w:r>
    </w:p>
    <w:p>
      <w:pPr>
        <w:pStyle w:val="ListParagraph"/>
        <w:numPr>
          <w:ilvl w:val="0"/>
          <w:numId w:val="2"/>
        </w:numPr>
        <w:spacing w:after="40" w:before="40"/>
      </w:pPr>
      <w:r>
        <w:rPr>
          <w:rFonts w:ascii="Arial" w:cs="Arial" w:eastAsia="Arial" w:hAnsi="Arial"/>
          <w:b w:val="false"/>
          <w:bCs w:val="false"/>
          <w:color w:val="334155"/>
          <w:sz w:val="22"/>
          <w:szCs w:val="22"/>
        </w:rPr>
        <w:t xml:space="preserve">Encryption in transit: TLS 1.3 enforced on all external connections. Internal service-to-service traffic encrypted via VPC private subnets with security group restrictions</w:t>
      </w:r>
    </w:p>
    <w:p>
      <w:pPr>
        <w:pStyle w:val="ListParagraph"/>
        <w:numPr>
          <w:ilvl w:val="0"/>
          <w:numId w:val="2"/>
        </w:numPr>
        <w:spacing w:after="40" w:before="40"/>
      </w:pPr>
      <w:r>
        <w:rPr>
          <w:rFonts w:ascii="Arial" w:cs="Arial" w:eastAsia="Arial" w:hAnsi="Arial"/>
          <w:b w:val="false"/>
          <w:bCs w:val="false"/>
          <w:color w:val="334155"/>
          <w:sz w:val="22"/>
          <w:szCs w:val="22"/>
        </w:rPr>
        <w:t xml:space="preserve">Encryption at rest: RDS encryption enabled (AES-256), S3 server-side encryption (SSE-S3), Redis at-rest encryption via ElastiCache encryption flag</w:t>
      </w:r>
    </w:p>
    <w:p>
      <w:pPr>
        <w:pStyle w:val="ListParagraph"/>
        <w:numPr>
          <w:ilvl w:val="0"/>
          <w:numId w:val="2"/>
        </w:numPr>
        <w:spacing w:after="40" w:before="40"/>
      </w:pPr>
      <w:r>
        <w:rPr>
          <w:rFonts w:ascii="Arial" w:cs="Arial" w:eastAsia="Arial" w:hAnsi="Arial"/>
          <w:b w:val="false"/>
          <w:bCs w:val="false"/>
          <w:color w:val="334155"/>
          <w:sz w:val="22"/>
          <w:szCs w:val="22"/>
        </w:rPr>
        <w:t xml:space="preserve">PII field-level encryption: customer_phone, customer_email, and notes fields in the leads table are encrypted using AES-256-GCM via PostgreSQL pgcrypto extension. The encryption key is stored in AWS KMS — never in the application codebase or environment variables directly</w:t>
      </w:r>
    </w:p>
    <w:p>
      <w:pPr>
        <w:pStyle w:val="ListParagraph"/>
        <w:numPr>
          <w:ilvl w:val="0"/>
          <w:numId w:val="2"/>
        </w:numPr>
        <w:spacing w:after="40" w:before="40"/>
      </w:pPr>
      <w:r>
        <w:rPr>
          <w:rFonts w:ascii="Arial" w:cs="Arial" w:eastAsia="Arial" w:hAnsi="Arial"/>
          <w:b w:val="false"/>
          <w:bCs w:val="false"/>
          <w:color w:val="334155"/>
          <w:sz w:val="22"/>
          <w:szCs w:val="22"/>
        </w:rPr>
        <w:t xml:space="preserve">Data minimization: customer full name is never stored — only first_name and last_initial. Full contact info is gated behind lead acceptance (viewed_at timestamp)</w:t>
      </w:r>
    </w:p>
    <w:p>
      <w:pPr>
        <w:pStyle w:val="ListParagraph"/>
        <w:numPr>
          <w:ilvl w:val="0"/>
          <w:numId w:val="2"/>
        </w:numPr>
        <w:spacing w:after="40" w:before="40"/>
      </w:pPr>
      <w:r>
        <w:rPr>
          <w:rFonts w:ascii="Arial" w:cs="Arial" w:eastAsia="Arial" w:hAnsi="Arial"/>
          <w:b w:val="false"/>
          <w:bCs w:val="false"/>
          <w:color w:val="334155"/>
          <w:sz w:val="22"/>
          <w:szCs w:val="22"/>
        </w:rPr>
        <w:t xml:space="preserve">Right to deletion: CCPA-compliant deletion endpoint. Customer PII fields overwritten with cryptographic erasure (delete KMS key version). Lead record is retained for financial audit purposes with PII fields nulled</w:t>
      </w:r>
    </w:p>
    <w:p>
      <w:pPr>
        <w:spacing w:before="160"/>
      </w:pPr>
      <w:r>
        <w:t xml:space="preserve"/>
      </w:r>
    </w:p>
    <w:p>
      <w:pPr>
        <w:pStyle w:val="Heading2"/>
        <w:spacing w:after="120" w:before="320"/>
      </w:pPr>
      <w:r>
        <w:rPr>
          <w:rFonts w:ascii="Arial" w:cs="Arial" w:eastAsia="Arial" w:hAnsi="Arial"/>
          <w:b/>
          <w:bCs/>
          <w:color w:val="0F6E56"/>
          <w:sz w:val="28"/>
          <w:szCs w:val="28"/>
        </w:rPr>
        <w:t xml:space="preserve">API Security</w:t>
      </w:r>
    </w:p>
    <w:p>
      <w:pPr>
        <w:pStyle w:val="ListParagraph"/>
        <w:numPr>
          <w:ilvl w:val="0"/>
          <w:numId w:val="2"/>
        </w:numPr>
        <w:spacing w:after="40" w:before="40"/>
      </w:pPr>
      <w:r>
        <w:rPr>
          <w:rFonts w:ascii="Arial" w:cs="Arial" w:eastAsia="Arial" w:hAnsi="Arial"/>
          <w:b w:val="false"/>
          <w:bCs w:val="false"/>
          <w:color w:val="334155"/>
          <w:sz w:val="22"/>
          <w:szCs w:val="22"/>
        </w:rPr>
        <w:t xml:space="preserve">All endpoints require authentication except: POST /auth/login, POST /auth/register, POST /invites/accept/:token</w:t>
      </w:r>
    </w:p>
    <w:p>
      <w:pPr>
        <w:pStyle w:val="ListParagraph"/>
        <w:numPr>
          <w:ilvl w:val="0"/>
          <w:numId w:val="2"/>
        </w:numPr>
        <w:spacing w:after="40" w:before="40"/>
      </w:pPr>
      <w:r>
        <w:rPr>
          <w:rFonts w:ascii="Arial" w:cs="Arial" w:eastAsia="Arial" w:hAnsi="Arial"/>
          <w:b w:val="false"/>
          <w:bCs w:val="false"/>
          <w:color w:val="334155"/>
          <w:sz w:val="22"/>
          <w:szCs w:val="22"/>
        </w:rPr>
        <w:t xml:space="preserve">Rate limiting tiers: unauthenticated (20 req/min per IP), authenticated (120 req/min per user), lead submission (10 leads/hour per technician)</w:t>
      </w:r>
    </w:p>
    <w:p>
      <w:pPr>
        <w:pStyle w:val="ListParagraph"/>
        <w:numPr>
          <w:ilvl w:val="0"/>
          <w:numId w:val="2"/>
        </w:numPr>
        <w:spacing w:after="40" w:before="40"/>
      </w:pPr>
      <w:r>
        <w:rPr>
          <w:rFonts w:ascii="Arial" w:cs="Arial" w:eastAsia="Arial" w:hAnsi="Arial"/>
          <w:b w:val="false"/>
          <w:bCs w:val="false"/>
          <w:color w:val="334155"/>
          <w:sz w:val="22"/>
          <w:szCs w:val="22"/>
        </w:rPr>
        <w:t xml:space="preserve">Input validation: Fastify JSON Schema validation on every request body and query parameter. Schemas generated from TypeScript types via typebox to prevent drift</w:t>
      </w:r>
    </w:p>
    <w:p>
      <w:pPr>
        <w:pStyle w:val="ListParagraph"/>
        <w:numPr>
          <w:ilvl w:val="0"/>
          <w:numId w:val="2"/>
        </w:numPr>
        <w:spacing w:after="40" w:before="40"/>
      </w:pPr>
      <w:r>
        <w:rPr>
          <w:rFonts w:ascii="Arial" w:cs="Arial" w:eastAsia="Arial" w:hAnsi="Arial"/>
          <w:b w:val="false"/>
          <w:bCs w:val="false"/>
          <w:color w:val="334155"/>
          <w:sz w:val="22"/>
          <w:szCs w:val="22"/>
        </w:rPr>
        <w:t xml:space="preserve">SQL injection prevention: parameterized queries only via pg (node-postgres). No raw string concatenation in any query. ORM usage restricted to read queries — writes use parameterized statements</w:t>
      </w:r>
    </w:p>
    <w:p>
      <w:pPr>
        <w:pStyle w:val="ListParagraph"/>
        <w:numPr>
          <w:ilvl w:val="0"/>
          <w:numId w:val="2"/>
        </w:numPr>
        <w:spacing w:after="40" w:before="40"/>
      </w:pPr>
      <w:r>
        <w:rPr>
          <w:rFonts w:ascii="Arial" w:cs="Arial" w:eastAsia="Arial" w:hAnsi="Arial"/>
          <w:b w:val="false"/>
          <w:bCs w:val="false"/>
          <w:color w:val="334155"/>
          <w:sz w:val="22"/>
          <w:szCs w:val="22"/>
        </w:rPr>
        <w:t xml:space="preserve">Output sanitization: all user-generated text fields sanitized through DOMPurify before storage and on render</w:t>
      </w:r>
    </w:p>
    <w:p>
      <w:pPr>
        <w:pStyle w:val="ListParagraph"/>
        <w:numPr>
          <w:ilvl w:val="0"/>
          <w:numId w:val="2"/>
        </w:numPr>
        <w:spacing w:after="40" w:before="40"/>
      </w:pPr>
      <w:r>
        <w:rPr>
          <w:rFonts w:ascii="Arial" w:cs="Arial" w:eastAsia="Arial" w:hAnsi="Arial"/>
          <w:b w:val="false"/>
          <w:bCs w:val="false"/>
          <w:color w:val="334155"/>
          <w:sz w:val="22"/>
          <w:szCs w:val="22"/>
        </w:rPr>
        <w:t xml:space="preserve">CORS policy: allow-list based. Only lowleads.com and localhost:3000 (dev) permitted</w:t>
      </w:r>
    </w:p>
    <w:p>
      <w:pPr>
        <w:pStyle w:val="ListParagraph"/>
        <w:numPr>
          <w:ilvl w:val="0"/>
          <w:numId w:val="2"/>
        </w:numPr>
        <w:spacing w:after="40" w:before="40"/>
      </w:pPr>
      <w:r>
        <w:rPr>
          <w:rFonts w:ascii="Arial" w:cs="Arial" w:eastAsia="Arial" w:hAnsi="Arial"/>
          <w:b w:val="false"/>
          <w:bCs w:val="false"/>
          <w:color w:val="334155"/>
          <w:sz w:val="22"/>
          <w:szCs w:val="22"/>
        </w:rPr>
        <w:t xml:space="preserve">Security headers: HSTS (max-age=31536000, includeSubdomains), X-Frame-Options: DENY, X-Content-Type-Options: nosniff, Referrer-Policy: strict-origin-when-cross-origin, Content-Security-Policy (strict)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05 — Payments &amp; Escrow</w:t>
            </w:r>
          </w:p>
          <w:p>
            <w:pPr>
              <w:spacing w:after="0" w:before="0"/>
            </w:pPr>
            <w:r>
              <w:rPr>
                <w:rFonts w:ascii="Arial" w:cs="Arial" w:eastAsia="Arial" w:hAnsi="Arial"/>
                <w:color w:val="A7F3D0"/>
                <w:sz w:val="22"/>
                <w:szCs w:val="22"/>
              </w:rPr>
              <w:t xml:space="preserve">Stripe Connect integration, escrow lifecycle, fee model, and payout flows</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Stripe Connect Architecture</w:t>
      </w:r>
    </w:p>
    <w:p>
      <w:pPr>
        <w:spacing w:after="120" w:before="80"/>
      </w:pPr>
      <w:r>
        <w:rPr>
          <w:rFonts w:ascii="Arial" w:cs="Arial" w:eastAsia="Arial" w:hAnsi="Arial"/>
          <w:color w:val="334155"/>
          <w:sz w:val="22"/>
          <w:szCs w:val="22"/>
        </w:rPr>
        <w:t xml:space="preserve">Lowleads uses Stripe Connect Express accounts. Each company on the platform is a connected account. This model allows Lowleads to:</w:t>
      </w:r>
    </w:p>
    <w:p>
      <w:pPr>
        <w:pStyle w:val="ListParagraph"/>
        <w:numPr>
          <w:ilvl w:val="0"/>
          <w:numId w:val="2"/>
        </w:numPr>
        <w:spacing w:after="40" w:before="40"/>
      </w:pPr>
      <w:r>
        <w:rPr>
          <w:rFonts w:ascii="Arial" w:cs="Arial" w:eastAsia="Arial" w:hAnsi="Arial"/>
          <w:b w:val="false"/>
          <w:bCs w:val="false"/>
          <w:color w:val="334155"/>
          <w:sz w:val="22"/>
          <w:szCs w:val="22"/>
        </w:rPr>
        <w:t xml:space="preserve">Collect platform fees (application_fee_amount) at the time of payout automatically</w:t>
      </w:r>
    </w:p>
    <w:p>
      <w:pPr>
        <w:pStyle w:val="ListParagraph"/>
        <w:numPr>
          <w:ilvl w:val="0"/>
          <w:numId w:val="2"/>
        </w:numPr>
        <w:spacing w:after="40" w:before="40"/>
      </w:pPr>
      <w:r>
        <w:rPr>
          <w:rFonts w:ascii="Arial" w:cs="Arial" w:eastAsia="Arial" w:hAnsi="Arial"/>
          <w:b w:val="false"/>
          <w:bCs w:val="false"/>
          <w:color w:val="334155"/>
          <w:sz w:val="22"/>
          <w:szCs w:val="22"/>
        </w:rPr>
        <w:t xml:space="preserve">Transfer funds directly to receiving technicians and companies without holding money outside of Stripe</w:t>
      </w:r>
    </w:p>
    <w:p>
      <w:pPr>
        <w:pStyle w:val="ListParagraph"/>
        <w:numPr>
          <w:ilvl w:val="0"/>
          <w:numId w:val="2"/>
        </w:numPr>
        <w:spacing w:after="40" w:before="40"/>
      </w:pPr>
      <w:r>
        <w:rPr>
          <w:rFonts w:ascii="Arial" w:cs="Arial" w:eastAsia="Arial" w:hAnsi="Arial"/>
          <w:b w:val="false"/>
          <w:bCs w:val="false"/>
          <w:color w:val="334155"/>
          <w:sz w:val="22"/>
          <w:szCs w:val="22"/>
        </w:rPr>
        <w:t xml:space="preserve">Maintain a Stripe Customer record per company for subscription billing separately from Connect</w:t>
      </w:r>
    </w:p>
    <w:p>
      <w:pPr>
        <w:pStyle w:val="ListParagraph"/>
        <w:numPr>
          <w:ilvl w:val="0"/>
          <w:numId w:val="2"/>
        </w:numPr>
        <w:spacing w:after="40" w:before="40"/>
      </w:pPr>
      <w:r>
        <w:rPr>
          <w:rFonts w:ascii="Arial" w:cs="Arial" w:eastAsia="Arial" w:hAnsi="Arial"/>
          <w:b w:val="false"/>
          <w:bCs w:val="false"/>
          <w:color w:val="334155"/>
          <w:sz w:val="22"/>
          <w:szCs w:val="22"/>
        </w:rPr>
        <w:t xml:space="preserve">Remain PCI-compliant by never touching raw card data — all card capture handled by Stripe Elements</w:t>
      </w:r>
    </w:p>
    <w:p>
      <w:pPr>
        <w:spacing w:before="80"/>
      </w:pPr>
      <w:r>
        <w:t xml:space="preserve"/>
      </w:r>
    </w:p>
    <w:p>
      <w:pPr>
        <w:pStyle w:val="Heading2"/>
        <w:spacing w:after="120" w:before="320"/>
      </w:pPr>
      <w:r>
        <w:rPr>
          <w:rFonts w:ascii="Arial" w:cs="Arial" w:eastAsia="Arial" w:hAnsi="Arial"/>
          <w:b/>
          <w:bCs/>
          <w:color w:val="0F6E56"/>
          <w:sz w:val="28"/>
          <w:szCs w:val="28"/>
        </w:rPr>
        <w:t xml:space="preserve">Escrow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Event</w:t>
            </w:r>
          </w:p>
        </w:tc>
        <w:tc>
          <w:tcPr>
            <w:tcW w:type="dxa" w:w="39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Escrow Action</w:t>
            </w:r>
          </w:p>
        </w:tc>
        <w:tc>
          <w:tcPr>
            <w:tcW w:type="dxa" w:w="30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Stripe Action</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 creates listing</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Reserve (reward_cents × max_concurrent) from company escrow balance</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Verify sufficient balance on Stripe. Charge card immediately if balance insufficient.</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 enables auto-replenish</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Store card-on-file consent flag in companies table</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Save payment method via Stripe SetupIntent</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 accepted (viewed by receiver)</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Increment active_lead_count on listing. No funds move yet.</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None</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 marked Sale</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Release reward from reserve. Deduct platform fee. Split net reward 50/50.</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Transfer to technician Connect account (50%). Stripe Transfer to company Connect account (50%). application_fee_amount deducted automatically.</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 marked No Sale + bonus set</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Release qualified_bonus_cents from reserve only</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Transfer of net bonus (after fee) split 50/50</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 marked Not Qualified</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Release reserved slot (active_lead_count decremented). No payout.</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None</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Escrow drops below threshold + auto-replenish on</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Trigger replenish job via BullMQ</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PaymentIntent charge to saved card. On success: credit escrow_balance_cents. On failure: pause listing, send alert.</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 cancels listing</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Unreserved escrow balance refunded to company Stripe balance</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refund or balance credit</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Platform Fee Calculation</w:t>
      </w:r>
    </w:p>
    <w:p>
      <w:pPr>
        <w:spacing w:after="120" w:before="80"/>
      </w:pPr>
      <w:r>
        <w:rPr>
          <w:rFonts w:ascii="Arial" w:cs="Arial" w:eastAsia="Arial" w:hAnsi="Arial"/>
          <w:color w:val="334155"/>
          <w:sz w:val="22"/>
          <w:szCs w:val="22"/>
        </w:rPr>
        <w:t xml:space="preserve">The platform fee is applied as basis points (bps) on the gross reward amount, deducted from the receiving company's escrow at time of payout. The referrer always receives the full reward amount promised.</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Free tier</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800 bps (8.00%) — Stripe charges this as application_fee_amount on each transfer</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Pro tier ($299/mo)</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600 bps (6.00%)</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Enterprise tier ($999/mo)</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400 bps (4.00%)</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Fee responsibility</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Charged to receiving company escrow only — referrer receives gross reward in full</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Minimum fee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$1.00 USD — prevents economically irrational micro-rewards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Stripe own fees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Standard Stripe Connect fees (typically 0.25% + $0.25 for payouts) passed through at cost, not marked up</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Webhook Security</w:t>
      </w:r>
    </w:p>
    <w:p>
      <w:pPr>
        <w:pStyle w:val="ListParagraph"/>
        <w:numPr>
          <w:ilvl w:val="0"/>
          <w:numId w:val="2"/>
        </w:numPr>
        <w:spacing w:after="40" w:before="40"/>
      </w:pPr>
      <w:r>
        <w:rPr>
          <w:rFonts w:ascii="Arial" w:cs="Arial" w:eastAsia="Arial" w:hAnsi="Arial"/>
          <w:b w:val="false"/>
          <w:bCs w:val="false"/>
          <w:color w:val="334155"/>
          <w:sz w:val="22"/>
          <w:szCs w:val="22"/>
        </w:rPr>
        <w:t xml:space="preserve">Stripe sends signed webhooks to POST /webhooks/stripe</w:t>
      </w:r>
    </w:p>
    <w:p>
      <w:pPr>
        <w:pStyle w:val="ListParagraph"/>
        <w:numPr>
          <w:ilvl w:val="0"/>
          <w:numId w:val="2"/>
        </w:numPr>
        <w:spacing w:after="40" w:before="40"/>
      </w:pPr>
      <w:r>
        <w:rPr>
          <w:rFonts w:ascii="Arial" w:cs="Arial" w:eastAsia="Arial" w:hAnsi="Arial"/>
          <w:b w:val="false"/>
          <w:bCs w:val="false"/>
          <w:color w:val="334155"/>
          <w:sz w:val="22"/>
          <w:szCs w:val="22"/>
        </w:rPr>
        <w:t xml:space="preserve">Every incoming webhook is verified using stripe.webhooks.constructEvent() with the Stripe-Signature header and endpoint signing secret stored in AWS Secrets Manager</w:t>
      </w:r>
    </w:p>
    <w:p>
      <w:pPr>
        <w:pStyle w:val="ListParagraph"/>
        <w:numPr>
          <w:ilvl w:val="0"/>
          <w:numId w:val="2"/>
        </w:numPr>
        <w:spacing w:after="40" w:before="40"/>
      </w:pPr>
      <w:r>
        <w:rPr>
          <w:rFonts w:ascii="Arial" w:cs="Arial" w:eastAsia="Arial" w:hAnsi="Arial"/>
          <w:b w:val="false"/>
          <w:bCs w:val="false"/>
          <w:color w:val="334155"/>
          <w:sz w:val="22"/>
          <w:szCs w:val="22"/>
        </w:rPr>
        <w:t xml:space="preserve">Webhooks are idempotent: each Stripe event ID is recorded in the escrow_transactions table. Duplicate delivery of the same event ID is detected and rejected with 200 OK (to prevent Stripe retries) but no action taken</w:t>
      </w:r>
    </w:p>
    <w:p>
      <w:pPr>
        <w:pStyle w:val="ListParagraph"/>
        <w:numPr>
          <w:ilvl w:val="0"/>
          <w:numId w:val="2"/>
        </w:numPr>
        <w:spacing w:after="40" w:before="40"/>
      </w:pPr>
      <w:r>
        <w:rPr>
          <w:rFonts w:ascii="Arial" w:cs="Arial" w:eastAsia="Arial" w:hAnsi="Arial"/>
          <w:b w:val="false"/>
          <w:bCs w:val="false"/>
          <w:color w:val="334155"/>
          <w:sz w:val="22"/>
          <w:szCs w:val="22"/>
        </w:rPr>
        <w:t xml:space="preserve">Webhook handler writes to a BullMQ queue immediately and returns 200 — processing happens async to prevent timeout failures</w:t>
      </w:r>
    </w:p>
    <w:p>
      <w:pPr>
        <w:pStyle w:val="ListParagraph"/>
        <w:numPr>
          <w:ilvl w:val="0"/>
          <w:numId w:val="2"/>
        </w:numPr>
        <w:spacing w:after="40" w:before="40"/>
      </w:pPr>
      <w:r>
        <w:rPr>
          <w:rFonts w:ascii="Arial" w:cs="Arial" w:eastAsia="Arial" w:hAnsi="Arial"/>
          <w:b w:val="false"/>
          <w:bCs w:val="false"/>
          <w:color w:val="334155"/>
          <w:sz w:val="22"/>
          <w:szCs w:val="22"/>
        </w:rPr>
        <w:t xml:space="preserve">Failed webhook processing triggers automatic retry with exponential backoff (3 retries over 30 minutes) before alerting on-call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06 — API Design</w:t>
            </w:r>
          </w:p>
          <w:p>
            <w:pPr>
              <w:spacing w:after="0" w:before="0"/>
            </w:pPr>
            <w:r>
              <w:rPr>
                <w:rFonts w:ascii="Arial" w:cs="Arial" w:eastAsia="Arial" w:hAnsi="Arial"/>
                <w:color w:val="A7F3D0"/>
                <w:sz w:val="22"/>
                <w:szCs w:val="22"/>
              </w:rPr>
              <w:t xml:space="preserve">RESTful endpoint specification, authentication flows, and request/response contracts</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API Conventions</w:t>
      </w:r>
    </w:p>
    <w:p>
      <w:pPr>
        <w:pStyle w:val="ListParagraph"/>
        <w:numPr>
          <w:ilvl w:val="0"/>
          <w:numId w:val="2"/>
        </w:numPr>
        <w:spacing w:after="40" w:before="40"/>
      </w:pPr>
      <w:r>
        <w:rPr>
          <w:rFonts w:ascii="Arial" w:cs="Arial" w:eastAsia="Arial" w:hAnsi="Arial"/>
          <w:b w:val="false"/>
          <w:bCs w:val="false"/>
          <w:color w:val="334155"/>
          <w:sz w:val="22"/>
          <w:szCs w:val="22"/>
        </w:rPr>
        <w:t xml:space="preserve">Base URL: https://api.lowleads.com/v1</w:t>
      </w:r>
    </w:p>
    <w:p>
      <w:pPr>
        <w:pStyle w:val="ListParagraph"/>
        <w:numPr>
          <w:ilvl w:val="0"/>
          <w:numId w:val="2"/>
        </w:numPr>
        <w:spacing w:after="40" w:before="40"/>
      </w:pPr>
      <w:r>
        <w:rPr>
          <w:rFonts w:ascii="Arial" w:cs="Arial" w:eastAsia="Arial" w:hAnsi="Arial"/>
          <w:b w:val="false"/>
          <w:bCs w:val="false"/>
          <w:color w:val="334155"/>
          <w:sz w:val="22"/>
          <w:szCs w:val="22"/>
        </w:rPr>
        <w:t xml:space="preserve">All responses JSON. All timestamps ISO 8601 UTC. All monetary amounts in cents (integer).</w:t>
      </w:r>
    </w:p>
    <w:p>
      <w:pPr>
        <w:pStyle w:val="ListParagraph"/>
        <w:numPr>
          <w:ilvl w:val="0"/>
          <w:numId w:val="2"/>
        </w:numPr>
        <w:spacing w:after="40" w:before="40"/>
      </w:pPr>
      <w:r>
        <w:rPr>
          <w:rFonts w:ascii="Arial" w:cs="Arial" w:eastAsia="Arial" w:hAnsi="Arial"/>
          <w:b w:val="false"/>
          <w:bCs w:val="false"/>
          <w:color w:val="334155"/>
          <w:sz w:val="22"/>
          <w:szCs w:val="22"/>
        </w:rPr>
        <w:t xml:space="preserve">Errors: { "error": { "code": "LEAD_NOT_FOUND", "message": "...", "details": {} } }</w:t>
      </w:r>
    </w:p>
    <w:p>
      <w:pPr>
        <w:pStyle w:val="ListParagraph"/>
        <w:numPr>
          <w:ilvl w:val="0"/>
          <w:numId w:val="2"/>
        </w:numPr>
        <w:spacing w:after="40" w:before="40"/>
      </w:pPr>
      <w:r>
        <w:rPr>
          <w:rFonts w:ascii="Arial" w:cs="Arial" w:eastAsia="Arial" w:hAnsi="Arial"/>
          <w:b w:val="false"/>
          <w:bCs w:val="false"/>
          <w:color w:val="334155"/>
          <w:sz w:val="22"/>
          <w:szCs w:val="22"/>
        </w:rPr>
        <w:t xml:space="preserve">Pagination: cursor-based using created_at + id composite cursor. Page size default 20, max 100.</w:t>
      </w:r>
    </w:p>
    <w:p>
      <w:pPr>
        <w:pStyle w:val="ListParagraph"/>
        <w:numPr>
          <w:ilvl w:val="0"/>
          <w:numId w:val="2"/>
        </w:numPr>
        <w:spacing w:after="40" w:before="40"/>
      </w:pPr>
      <w:r>
        <w:rPr>
          <w:rFonts w:ascii="Arial" w:cs="Arial" w:eastAsia="Arial" w:hAnsi="Arial"/>
          <w:b w:val="false"/>
          <w:bCs w:val="false"/>
          <w:color w:val="334155"/>
          <w:sz w:val="22"/>
          <w:szCs w:val="22"/>
        </w:rPr>
        <w:t xml:space="preserve">Versioning: URL path versioning (/v1). Breaking changes increment version; non-breaking changes are additive.</w:t>
      </w:r>
    </w:p>
    <w:p>
      <w:pPr>
        <w:spacing w:before="160"/>
      </w:pPr>
      <w:r>
        <w:t xml:space="preserve"/>
      </w:r>
    </w:p>
    <w:p>
      <w:pPr>
        <w:pStyle w:val="Heading2"/>
        <w:spacing w:after="120" w:before="320"/>
      </w:pPr>
      <w:r>
        <w:rPr>
          <w:rFonts w:ascii="Arial" w:cs="Arial" w:eastAsia="Arial" w:hAnsi="Arial"/>
          <w:b/>
          <w:bCs/>
          <w:color w:val="0F6E56"/>
          <w:sz w:val="28"/>
          <w:szCs w:val="28"/>
        </w:rPr>
        <w:t xml:space="preserve">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 Required</w:t>
            </w:r>
          </w:p>
        </w:tc>
        <w:tc>
          <w:tcPr>
            <w:tcW w:type="dxa" w:w="27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/auth/register</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Create company owner account. Returns verification email.</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/auth/login</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Returns access_token (15min JWT) + refresh_token (httpOnly cookie)</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/auth/refresh</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Refresh token cookie</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Rotate refresh token. Returns new access_token.</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/auth/logout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Invalidate refresh token in Redis.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/auth/mfa/setup</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Generate TOTP secret, return QR code URI.</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/auth/mfa/verify</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Verify TOTP token. Enable MFA on account.</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/auth/password/reset-request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Send password reset email with signed token (1hr expiry).</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/auth/password/reset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Reset token</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Set new password. Invalidate all sessions.</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Lead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 Required</w:t>
            </w:r>
          </w:p>
        </w:tc>
        <w:tc>
          <w:tcPr>
            <w:tcW w:type="dxa" w:w="27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Submit a new lead. Body: listing_id, customer details, notes.</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/leads/inbox</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(company)</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Paginated LIFO lead inbox for receiving company. Filter by status, service.</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/leads/:id</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Fetch lead detail. Returns full PII only if viewer is receiving company and lead is active.</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PATCH</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/leads/:id/status</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(company)</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Update status: pending | not_qualified | no_sale | sale. Triggers escrow logic.</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/leads/sent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Leads submitted by the authenticated technician or company.</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Listing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 Required</w:t>
            </w:r>
          </w:p>
        </w:tc>
        <w:tc>
          <w:tcPr>
            <w:tcW w:type="dxa" w:w="27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/listings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(company)</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Create service listing. Triggers escrow reserve check.</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/listings/:id</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Get listing detail including current escrow status.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PATCH</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/listings/:id</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(company, owner)</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Update listing. Recalculates escrow reserve on reward/max change.</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DELETE</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/listings/:id</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(company, owner)</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Archive listing. Unreserves escrow balance.</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/listings/search</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Search listings. Params: q (text), category, sort (score|reward|close_rate).</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Company &amp; Technician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 Required</w:t>
            </w:r>
          </w:p>
        </w:tc>
        <w:tc>
          <w:tcPr>
            <w:tcW w:type="dxa" w:w="27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/companies/:slug</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 public profile including listings, close rate, service area.</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PATCH</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/companies/:id</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(owner)</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Update company profile, service area, auto-replenish settings.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/companies/:id/technicians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(owner, Pro+)</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Invite technician by email. Creates pending technician account.</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/companies/:id/technicians</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(owner)</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List all technicians with stats.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POST</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/companies/:id/technicians/:tid/bonus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(owner)</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Issue manual bonus payment from company Stripe balance.</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GET</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/technicians/:id/profile</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Technician public stats profile. Shows close rate, not-qualified count.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07 — Scalability &amp; Infrastructure</w:t>
            </w:r>
          </w:p>
          <w:p>
            <w:pPr>
              <w:spacing w:after="0" w:before="0"/>
            </w:pPr>
            <w:r>
              <w:rPr>
                <w:rFonts w:ascii="Arial" w:cs="Arial" w:eastAsia="Arial" w:hAnsi="Arial"/>
                <w:color w:val="A7F3D0"/>
                <w:sz w:val="22"/>
                <w:szCs w:val="22"/>
              </w:rPr>
              <w:t xml:space="preserve">AWS topology, horizontal scaling, caching strategy, and disaster recovery</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AWS Infrastructure Topology</w:t>
      </w:r>
    </w:p>
    <w:p>
      <w:pPr>
        <w:pStyle w:val="ListParagraph"/>
        <w:numPr>
          <w:ilvl w:val="0"/>
          <w:numId w:val="2"/>
        </w:numPr>
        <w:spacing w:after="40" w:before="40"/>
      </w:pPr>
      <w:r>
        <w:rPr>
          <w:rFonts w:ascii="Arial" w:cs="Arial" w:eastAsia="Arial" w:hAnsi="Arial"/>
          <w:b w:val="false"/>
          <w:bCs w:val="false"/>
          <w:color w:val="334155"/>
          <w:sz w:val="22"/>
          <w:szCs w:val="22"/>
        </w:rPr>
        <w:t xml:space="preserve">Region: us-west-2 (Oregon) — primary. us-east-1 (Virginia) — disaster recovery target (Phase 2)</w:t>
      </w:r>
    </w:p>
    <w:p>
      <w:pPr>
        <w:pStyle w:val="ListParagraph"/>
        <w:numPr>
          <w:ilvl w:val="0"/>
          <w:numId w:val="2"/>
        </w:numPr>
        <w:spacing w:after="40" w:before="40"/>
      </w:pPr>
      <w:r>
        <w:rPr>
          <w:rFonts w:ascii="Arial" w:cs="Arial" w:eastAsia="Arial" w:hAnsi="Arial"/>
          <w:b w:val="false"/>
          <w:bCs w:val="false"/>
          <w:color w:val="334155"/>
          <w:sz w:val="22"/>
          <w:szCs w:val="22"/>
        </w:rPr>
        <w:t xml:space="preserve">VPC with public subnet (ALB, NAT Gateway), private subnet (ECS tasks, RDS, ElastiCache), and isolated subnet (RDS — no internet route)</w:t>
      </w:r>
    </w:p>
    <w:p>
      <w:pPr>
        <w:pStyle w:val="ListParagraph"/>
        <w:numPr>
          <w:ilvl w:val="0"/>
          <w:numId w:val="2"/>
        </w:numPr>
        <w:spacing w:after="40" w:before="40"/>
      </w:pPr>
      <w:r>
        <w:rPr>
          <w:rFonts w:ascii="Arial" w:cs="Arial" w:eastAsia="Arial" w:hAnsi="Arial"/>
          <w:b w:val="false"/>
          <w:bCs w:val="false"/>
          <w:color w:val="334155"/>
          <w:sz w:val="22"/>
          <w:szCs w:val="22"/>
        </w:rPr>
        <w:t xml:space="preserve">ECS Fargate: each service runs as an independent Fargate task definition. Auto-scaling policies on CPU (&gt;60%) and custom CloudWatch metrics (queue depth)</w:t>
      </w:r>
    </w:p>
    <w:p>
      <w:pPr>
        <w:pStyle w:val="ListParagraph"/>
        <w:numPr>
          <w:ilvl w:val="0"/>
          <w:numId w:val="2"/>
        </w:numPr>
        <w:spacing w:after="40" w:before="40"/>
      </w:pPr>
      <w:r>
        <w:rPr>
          <w:rFonts w:ascii="Arial" w:cs="Arial" w:eastAsia="Arial" w:hAnsi="Arial"/>
          <w:b w:val="false"/>
          <w:bCs w:val="false"/>
          <w:color w:val="334155"/>
          <w:sz w:val="22"/>
          <w:szCs w:val="22"/>
        </w:rPr>
        <w:t xml:space="preserve">RDS PostgreSQL: Multi-AZ deployment for automatic failover. One read replica for Analytics Service queries. Point-in-time recovery (PITR) enabled, 35-day retention</w:t>
      </w:r>
    </w:p>
    <w:p>
      <w:pPr>
        <w:pStyle w:val="ListParagraph"/>
        <w:numPr>
          <w:ilvl w:val="0"/>
          <w:numId w:val="2"/>
        </w:numPr>
        <w:spacing w:after="40" w:before="40"/>
      </w:pPr>
      <w:r>
        <w:rPr>
          <w:rFonts w:ascii="Arial" w:cs="Arial" w:eastAsia="Arial" w:hAnsi="Arial"/>
          <w:b w:val="false"/>
          <w:bCs w:val="false"/>
          <w:color w:val="334155"/>
          <w:sz w:val="22"/>
          <w:szCs w:val="22"/>
        </w:rPr>
        <w:t xml:space="preserve">ElastiCache Redis: cluster mode disabled for MVP (single shard, multi-AZ replication). Cluster mode enabled at scale milestone</w:t>
      </w:r>
    </w:p>
    <w:p>
      <w:pPr>
        <w:pStyle w:val="ListParagraph"/>
        <w:numPr>
          <w:ilvl w:val="0"/>
          <w:numId w:val="2"/>
        </w:numPr>
        <w:spacing w:after="40" w:before="40"/>
      </w:pPr>
      <w:r>
        <w:rPr>
          <w:rFonts w:ascii="Arial" w:cs="Arial" w:eastAsia="Arial" w:hAnsi="Arial"/>
          <w:b w:val="false"/>
          <w:bCs w:val="false"/>
          <w:color w:val="334155"/>
          <w:sz w:val="22"/>
          <w:szCs w:val="22"/>
        </w:rPr>
        <w:t xml:space="preserve">S3: versioning enabled on all buckets. Lifecycle policies archive non-current versions to Glacier after 90 days</w:t>
      </w:r>
    </w:p>
    <w:p>
      <w:pPr>
        <w:pStyle w:val="ListParagraph"/>
        <w:numPr>
          <w:ilvl w:val="0"/>
          <w:numId w:val="2"/>
        </w:numPr>
        <w:spacing w:after="40" w:before="40"/>
      </w:pPr>
      <w:r>
        <w:rPr>
          <w:rFonts w:ascii="Arial" w:cs="Arial" w:eastAsia="Arial" w:hAnsi="Arial"/>
          <w:b w:val="false"/>
          <w:bCs w:val="false"/>
          <w:color w:val="334155"/>
          <w:sz w:val="22"/>
          <w:szCs w:val="22"/>
        </w:rPr>
        <w:t xml:space="preserve">Secrets Manager: all credentials (DB passwords, Stripe keys, JWT secrets, Twilio tokens) stored and rotated. Never in environment variables or source code</w:t>
      </w:r>
    </w:p>
    <w:p>
      <w:pPr>
        <w:spacing w:before="160"/>
      </w:pPr>
      <w:r>
        <w:t xml:space="preserve"/>
      </w:r>
    </w:p>
    <w:p>
      <w:pPr>
        <w:pStyle w:val="Heading2"/>
        <w:spacing w:after="120" w:before="320"/>
      </w:pPr>
      <w:r>
        <w:rPr>
          <w:rFonts w:ascii="Arial" w:cs="Arial" w:eastAsia="Arial" w:hAnsi="Arial"/>
          <w:b/>
          <w:bCs/>
          <w:color w:val="0F6E56"/>
          <w:sz w:val="28"/>
          <w:szCs w:val="28"/>
        </w:rPr>
        <w:t xml:space="preserve">Horizontal Scaling Design</w:t>
      </w:r>
    </w:p>
    <w:p>
      <w:pPr>
        <w:pStyle w:val="ListParagraph"/>
        <w:numPr>
          <w:ilvl w:val="0"/>
          <w:numId w:val="2"/>
        </w:numPr>
        <w:spacing w:after="40" w:before="40"/>
      </w:pPr>
      <w:r>
        <w:rPr>
          <w:rFonts w:ascii="Arial" w:cs="Arial" w:eastAsia="Arial" w:hAnsi="Arial"/>
          <w:b w:val="false"/>
          <w:bCs w:val="false"/>
          <w:color w:val="334155"/>
          <w:sz w:val="22"/>
          <w:szCs w:val="22"/>
        </w:rPr>
        <w:t xml:space="preserve">All API service instances are stateless — no in-memory session state. Sessions stored in Redis</w:t>
      </w:r>
    </w:p>
    <w:p>
      <w:pPr>
        <w:pStyle w:val="ListParagraph"/>
        <w:numPr>
          <w:ilvl w:val="0"/>
          <w:numId w:val="2"/>
        </w:numPr>
        <w:spacing w:after="40" w:before="40"/>
      </w:pPr>
      <w:r>
        <w:rPr>
          <w:rFonts w:ascii="Arial" w:cs="Arial" w:eastAsia="Arial" w:hAnsi="Arial"/>
          <w:b w:val="false"/>
          <w:bCs w:val="false"/>
          <w:color w:val="334155"/>
          <w:sz w:val="22"/>
          <w:szCs w:val="22"/>
        </w:rPr>
        <w:t xml:space="preserve">BullMQ workers run as separate Fargate task groups. Worker count auto-scales based on queue depth CloudWatch metric</w:t>
      </w:r>
    </w:p>
    <w:p>
      <w:pPr>
        <w:pStyle w:val="ListParagraph"/>
        <w:numPr>
          <w:ilvl w:val="0"/>
          <w:numId w:val="2"/>
        </w:numPr>
        <w:spacing w:after="40" w:before="40"/>
      </w:pPr>
      <w:r>
        <w:rPr>
          <w:rFonts w:ascii="Arial" w:cs="Arial" w:eastAsia="Arial" w:hAnsi="Arial"/>
          <w:b w:val="false"/>
          <w:bCs w:val="false"/>
          <w:color w:val="334155"/>
          <w:sz w:val="22"/>
          <w:szCs w:val="22"/>
        </w:rPr>
        <w:t xml:space="preserve">Database connection pooling: PgBouncer deployed as a sidecar to each API task. Pool size per task: max 10 connections. Prevents connection exhaustion on scale-out</w:t>
      </w:r>
    </w:p>
    <w:p>
      <w:pPr>
        <w:pStyle w:val="ListParagraph"/>
        <w:numPr>
          <w:ilvl w:val="0"/>
          <w:numId w:val="2"/>
        </w:numPr>
        <w:spacing w:after="40" w:before="40"/>
      </w:pPr>
      <w:r>
        <w:rPr>
          <w:rFonts w:ascii="Arial" w:cs="Arial" w:eastAsia="Arial" w:hAnsi="Arial"/>
          <w:b w:val="false"/>
          <w:bCs w:val="false"/>
          <w:color w:val="334155"/>
          <w:sz w:val="22"/>
          <w:szCs w:val="22"/>
        </w:rPr>
        <w:t xml:space="preserve">Read/write splitting: Analytics Service and Search Service queries routed to read replica via separate connection string. Write-path services always use primary</w:t>
      </w:r>
    </w:p>
    <w:p>
      <w:pPr>
        <w:pStyle w:val="ListParagraph"/>
        <w:numPr>
          <w:ilvl w:val="0"/>
          <w:numId w:val="2"/>
        </w:numPr>
        <w:spacing w:after="40" w:before="40"/>
      </w:pPr>
      <w:r>
        <w:rPr>
          <w:rFonts w:ascii="Arial" w:cs="Arial" w:eastAsia="Arial" w:hAnsi="Arial"/>
          <w:b w:val="false"/>
          <w:bCs w:val="false"/>
          <w:color w:val="334155"/>
          <w:sz w:val="22"/>
          <w:szCs w:val="22"/>
        </w:rPr>
        <w:t xml:space="preserve">Cache-aside pattern: listing search results cached in Redis with 60-second TTL. Close rate metrics cached with 5-minute TTL. Invalidated on relevant writes</w:t>
      </w:r>
    </w:p>
    <w:p>
      <w:pPr>
        <w:spacing w:before="160"/>
      </w:pPr>
      <w:r>
        <w:t xml:space="preserve"/>
      </w:r>
    </w:p>
    <w:p>
      <w:pPr>
        <w:pStyle w:val="Heading2"/>
        <w:spacing w:after="120" w:before="320"/>
      </w:pPr>
      <w:r>
        <w:rPr>
          <w:rFonts w:ascii="Arial" w:cs="Arial" w:eastAsia="Arial" w:hAnsi="Arial"/>
          <w:b/>
          <w:bCs/>
          <w:color w:val="0F6E56"/>
          <w:sz w:val="28"/>
          <w:szCs w:val="28"/>
        </w:rPr>
        <w:t xml:space="preserve">Performance Targets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API P50 latency</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&lt; 80ms (excluding Stripe calls)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API P99 latency</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&lt; 400ms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Lead inbox load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&lt; 200ms for 100-lead inbox query</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Search response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&lt; 300ms for full-text search with ranking</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Concurrent users (launch)</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500 concurrent — Fargate scales to 1000 by adding 2 task instances</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Database connections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Max 200 — PgBouncer pools keep RDS under limit</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Uptime SLA</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99.9% — Multi-AZ RDS + ECS health checks ensure &lt; 52 min downtime/year</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Disaster Recovery</w:t>
      </w:r>
    </w:p>
    <w:p>
      <w:pPr>
        <w:pStyle w:val="ListParagraph"/>
        <w:numPr>
          <w:ilvl w:val="0"/>
          <w:numId w:val="2"/>
        </w:numPr>
        <w:spacing w:after="40" w:before="40"/>
      </w:pPr>
      <w:r>
        <w:rPr>
          <w:rFonts w:ascii="Arial" w:cs="Arial" w:eastAsia="Arial" w:hAnsi="Arial"/>
          <w:b w:val="false"/>
          <w:bCs w:val="false"/>
          <w:color w:val="334155"/>
          <w:sz w:val="22"/>
          <w:szCs w:val="22"/>
        </w:rPr>
        <w:t xml:space="preserve">RPO (Recovery Point Objective): 1 hour — RDS automated backups every hour + PITR to any 5-minute window</w:t>
      </w:r>
    </w:p>
    <w:p>
      <w:pPr>
        <w:pStyle w:val="ListParagraph"/>
        <w:numPr>
          <w:ilvl w:val="0"/>
          <w:numId w:val="2"/>
        </w:numPr>
        <w:spacing w:after="40" w:before="40"/>
      </w:pPr>
      <w:r>
        <w:rPr>
          <w:rFonts w:ascii="Arial" w:cs="Arial" w:eastAsia="Arial" w:hAnsi="Arial"/>
          <w:b w:val="false"/>
          <w:bCs w:val="false"/>
          <w:color w:val="334155"/>
          <w:sz w:val="22"/>
          <w:szCs w:val="22"/>
        </w:rPr>
        <w:t xml:space="preserve">RTO (Recovery Time Objective): 30 minutes — ECS services redeploy from latest Docker image. RDS failover to standby is automatic (&lt; 2 min). DNS TTL set to 60 seconds for fast cutover</w:t>
      </w:r>
    </w:p>
    <w:p>
      <w:pPr>
        <w:pStyle w:val="ListParagraph"/>
        <w:numPr>
          <w:ilvl w:val="0"/>
          <w:numId w:val="2"/>
        </w:numPr>
        <w:spacing w:after="40" w:before="40"/>
      </w:pPr>
      <w:r>
        <w:rPr>
          <w:rFonts w:ascii="Arial" w:cs="Arial" w:eastAsia="Arial" w:hAnsi="Arial"/>
          <w:b w:val="false"/>
          <w:bCs w:val="false"/>
          <w:color w:val="334155"/>
          <w:sz w:val="22"/>
          <w:szCs w:val="22"/>
        </w:rPr>
        <w:t xml:space="preserve">Runbook: documented step-by-step recovery procedures stored in Notion and printed copy kept with team. Tested quarterly with tabletop exercises</w:t>
      </w:r>
    </w:p>
    <w:p>
      <w:pPr>
        <w:pStyle w:val="ListParagraph"/>
        <w:numPr>
          <w:ilvl w:val="0"/>
          <w:numId w:val="2"/>
        </w:numPr>
        <w:spacing w:after="40" w:before="40"/>
      </w:pPr>
      <w:r>
        <w:rPr>
          <w:rFonts w:ascii="Arial" w:cs="Arial" w:eastAsia="Arial" w:hAnsi="Arial"/>
          <w:b w:val="false"/>
          <w:bCs w:val="false"/>
          <w:color w:val="334155"/>
          <w:sz w:val="22"/>
          <w:szCs w:val="22"/>
        </w:rPr>
        <w:t xml:space="preserve">Stripe: all financial state authoritative in Stripe — Lowleads DB can be rebuilt from Stripe event log if needed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08 — Core Business Logic</w:t>
            </w:r>
          </w:p>
          <w:p>
            <w:pPr>
              <w:spacing w:after="0" w:before="0"/>
            </w:pPr>
            <w:r>
              <w:rPr>
                <w:rFonts w:ascii="Arial" w:cs="Arial" w:eastAsia="Arial" w:hAnsi="Arial"/>
                <w:color w:val="A7F3D0"/>
                <w:sz w:val="22"/>
                <w:szCs w:val="22"/>
              </w:rPr>
              <w:t xml:space="preserve">Lead lifecycle, ranking algorithm, invite flow, and close rate mechanics</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Lead Submission Flow</w:t>
      </w:r>
    </w:p>
    <w:p>
      <w:pPr>
        <w:pStyle w:val="ListParagraph"/>
        <w:numPr>
          <w:ilvl w:val="0"/>
          <w:numId w:val="3"/>
        </w:numPr>
        <w:spacing w:after="40" w:before="40"/>
      </w:pPr>
      <w:r>
        <w:rPr>
          <w:rFonts w:ascii="Arial" w:cs="Arial" w:eastAsia="Arial" w:hAnsi="Arial"/>
          <w:color w:val="334155"/>
          <w:sz w:val="22"/>
          <w:szCs w:val="22"/>
        </w:rPr>
        <w:t xml:space="preserve">Technician or company owner selects a service listing from search results or partner list</w:t>
      </w:r>
    </w:p>
    <w:p>
      <w:pPr>
        <w:pStyle w:val="ListParagraph"/>
        <w:numPr>
          <w:ilvl w:val="0"/>
          <w:numId w:val="3"/>
        </w:numPr>
        <w:spacing w:after="40" w:before="40"/>
      </w:pPr>
      <w:r>
        <w:rPr>
          <w:rFonts w:ascii="Arial" w:cs="Arial" w:eastAsia="Arial" w:hAnsi="Arial"/>
          <w:color w:val="334155"/>
          <w:sz w:val="22"/>
          <w:szCs w:val="22"/>
        </w:rPr>
        <w:t xml:space="preserve">Lead form submitted: customer first name, last initial, phone, email (optional), notes (optional), listing_id</w:t>
      </w:r>
    </w:p>
    <w:p>
      <w:pPr>
        <w:pStyle w:val="ListParagraph"/>
        <w:numPr>
          <w:ilvl w:val="0"/>
          <w:numId w:val="3"/>
        </w:numPr>
        <w:spacing w:after="40" w:before="40"/>
      </w:pPr>
      <w:r>
        <w:rPr>
          <w:rFonts w:ascii="Arial" w:cs="Arial" w:eastAsia="Arial" w:hAnsi="Arial"/>
          <w:color w:val="334155"/>
          <w:sz w:val="22"/>
          <w:szCs w:val="22"/>
        </w:rPr>
        <w:t xml:space="preserve">API validates: rate limit check (10 leads/hour/technician), listing is active, listing has available concurrent slot</w:t>
      </w:r>
    </w:p>
    <w:p>
      <w:pPr>
        <w:pStyle w:val="ListParagraph"/>
        <w:numPr>
          <w:ilvl w:val="0"/>
          <w:numId w:val="3"/>
        </w:numPr>
        <w:spacing w:after="40" w:before="40"/>
      </w:pPr>
      <w:r>
        <w:rPr>
          <w:rFonts w:ascii="Arial" w:cs="Arial" w:eastAsia="Arial" w:hAnsi="Arial"/>
          <w:color w:val="334155"/>
          <w:sz w:val="22"/>
          <w:szCs w:val="22"/>
        </w:rPr>
        <w:t xml:space="preserve">Customer PII fields encrypted with AES-256-GCM before INSERT. Key fetched from KMS per request.</w:t>
      </w:r>
    </w:p>
    <w:p>
      <w:pPr>
        <w:pStyle w:val="ListParagraph"/>
        <w:numPr>
          <w:ilvl w:val="0"/>
          <w:numId w:val="3"/>
        </w:numPr>
        <w:spacing w:after="40" w:before="40"/>
      </w:pPr>
      <w:r>
        <w:rPr>
          <w:rFonts w:ascii="Arial" w:cs="Arial" w:eastAsia="Arial" w:hAnsi="Arial"/>
          <w:color w:val="334155"/>
          <w:sz w:val="22"/>
          <w:szCs w:val="22"/>
        </w:rPr>
        <w:t xml:space="preserve">lead record created with status=pending. active_lead_count on listing incremented.</w:t>
      </w:r>
    </w:p>
    <w:p>
      <w:pPr>
        <w:pStyle w:val="ListParagraph"/>
        <w:numPr>
          <w:ilvl w:val="0"/>
          <w:numId w:val="3"/>
        </w:numPr>
        <w:spacing w:after="40" w:before="40"/>
      </w:pPr>
      <w:r>
        <w:rPr>
          <w:rFonts w:ascii="Arial" w:cs="Arial" w:eastAsia="Arial" w:hAnsi="Arial"/>
          <w:color w:val="334155"/>
          <w:sz w:val="22"/>
          <w:szCs w:val="22"/>
        </w:rPr>
        <w:t xml:space="preserve">Audit log entry written: lead.submitted with actor, listing, receiving company (no PII)</w:t>
      </w:r>
    </w:p>
    <w:p>
      <w:pPr>
        <w:pStyle w:val="ListParagraph"/>
        <w:numPr>
          <w:ilvl w:val="0"/>
          <w:numId w:val="3"/>
        </w:numPr>
        <w:spacing w:after="40" w:before="40"/>
      </w:pPr>
      <w:r>
        <w:rPr>
          <w:rFonts w:ascii="Arial" w:cs="Arial" w:eastAsia="Arial" w:hAnsi="Arial"/>
          <w:color w:val="334155"/>
          <w:sz w:val="22"/>
          <w:szCs w:val="22"/>
        </w:rPr>
        <w:t xml:space="preserve">BullMQ job queued: notify receiving company via in-app notification + email digest (not immediate to prevent spam)</w:t>
      </w:r>
    </w:p>
    <w:p>
      <w:pPr>
        <w:pStyle w:val="ListParagraph"/>
        <w:numPr>
          <w:ilvl w:val="0"/>
          <w:numId w:val="3"/>
        </w:numPr>
        <w:spacing w:after="40" w:before="40"/>
      </w:pPr>
      <w:r>
        <w:rPr>
          <w:rFonts w:ascii="Arial" w:cs="Arial" w:eastAsia="Arial" w:hAnsi="Arial"/>
          <w:color w:val="334155"/>
          <w:sz w:val="22"/>
          <w:szCs w:val="22"/>
        </w:rPr>
        <w:t xml:space="preserve">If receiving company not a Lowleads member: BullMQ job queued to send invite email + SMS via Twilio</w:t>
      </w:r>
    </w:p>
    <w:p>
      <w:pPr>
        <w:spacing w:before="160"/>
      </w:pPr>
      <w:r>
        <w:t xml:space="preserve"/>
      </w:r>
    </w:p>
    <w:p>
      <w:pPr>
        <w:pStyle w:val="Heading2"/>
        <w:spacing w:after="120" w:before="320"/>
      </w:pPr>
      <w:r>
        <w:rPr>
          <w:rFonts w:ascii="Arial" w:cs="Arial" w:eastAsia="Arial" w:hAnsi="Arial"/>
          <w:b/>
          <w:bCs/>
          <w:color w:val="0F6E56"/>
          <w:sz w:val="28"/>
          <w:szCs w:val="28"/>
        </w:rPr>
        <w:t xml:space="preserve">Lead Status Transition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From Status</w:t>
            </w:r>
          </w:p>
        </w:tc>
        <w:tc>
          <w:tcPr>
            <w:tcW w:type="dxa" w:w="39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 Status</w:t>
            </w:r>
          </w:p>
        </w:tc>
        <w:tc>
          <w:tcPr>
            <w:tcW w:type="dxa" w:w="30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Conditions &amp; Side Effects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pending</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not_qualified</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Only receiving company. Decrements active_lead_count. Increments technician.not_qualified_count. Included in close rate denominator.</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pending</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no_sale</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Only receiving company. Decrements active_lead_count. If qualified_bonus_cents &gt; 0: triggers bonus payout flow. Included in close rate denominator.</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pending</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sale</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Only receiving company. Decrements active_lead_count. Triggers full reward payout from escrow. Updates company close rate. Triggers auto-replenish check.</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pending</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pending</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Any user. No stat change. Dismisses lead modal. Lead remains in LIFO inbox position.</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not_qualified / no_sale / sale</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(any)</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PROHIBITED — terminal states cannot be changed. Prevents retroactive manipulation.</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Close Rate Calculation</w:t>
      </w:r>
    </w:p>
    <w:p>
      <w:pPr>
        <w:spacing w:after="120" w:before="80"/>
      </w:pPr>
      <w:r>
        <w:rPr>
          <w:rFonts w:ascii="Arial" w:cs="Arial" w:eastAsia="Arial" w:hAnsi="Arial"/>
          <w:color w:val="334155"/>
          <w:sz w:val="22"/>
          <w:szCs w:val="22"/>
        </w:rPr>
        <w:t xml:space="preserve">Close rate is computed per company across all service listings: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1"/>
              <w:left w:val="single" w:color="0F6E56" w:sz="12"/>
              <w:bottom w:val="single" w:color="0F6E56" w:sz="1"/>
              <w:right w:val="single" w:color="0F6E56" w:sz="1"/>
            </w:tcBorders>
            <w:shd w:fill="E1F5EE" w:val="clear"/>
            <w:tcMar>
              <w:top w:type="dxa" w:w="120"/>
              <w:left w:type="dxa" w:w="180"/>
              <w:bottom w:type="dxa" w:w="120"/>
              <w:right w:type="dxa" w:w="180"/>
            </w:tcMar>
          </w:tcPr>
          <w:p>
            <w:pPr>
              <w:spacing w:after="40" w:before="0"/>
            </w:pPr>
            <w:r>
              <w:rPr>
                <w:rFonts w:ascii="Arial" w:cs="Arial" w:eastAsia="Arial" w:hAnsi="Arial"/>
                <w:b/>
                <w:bCs/>
                <w:color w:val="0F6E56"/>
                <w:sz w:val="20"/>
                <w:szCs w:val="20"/>
              </w:rPr>
              <w:t xml:space="preserve">Formula</w:t>
            </w:r>
          </w:p>
          <w:p>
            <w:pPr>
              <w:spacing w:after="0" w:before="0"/>
            </w:pPr>
            <w:r>
              <w:rPr>
                <w:rFonts w:ascii="Arial" w:cs="Arial" w:eastAsia="Arial" w:hAnsi="Arial"/>
                <w:color w:val="334155"/>
                <w:sz w:val="20"/>
                <w:szCs w:val="20"/>
              </w:rPr>
              <w:t xml:space="preserve">close_rate = sales / (sales + no_sales + not_qualified)  |  Pending leads excluded until resolved.  |  New companies (zero resolved leads) display a "New" badge instead of a percentage. Badge clears after first resolved lead.  |  Stored as computed column updated by PostgreSQL trigger on leads table, not calculated at query time.</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Search Ranking Algorithm</w:t>
      </w:r>
    </w:p>
    <w:p>
      <w:pPr>
        <w:spacing w:after="120" w:before="80"/>
      </w:pPr>
      <w:r>
        <w:rPr>
          <w:rFonts w:ascii="Arial" w:cs="Arial" w:eastAsia="Arial" w:hAnsi="Arial"/>
          <w:color w:val="334155"/>
          <w:sz w:val="22"/>
          <w:szCs w:val="22"/>
        </w:rPr>
        <w:t xml:space="preserve">Listings are ranked by a composite score combining reward amount (normalized) and close rate: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1"/>
              <w:left w:val="single" w:color="534AB7" w:sz="12"/>
              <w:bottom w:val="single" w:color="534AB7" w:sz="1"/>
              <w:right w:val="single" w:color="534AB7" w:sz="1"/>
            </w:tcBorders>
            <w:shd w:fill="EEEDFE" w:val="clear"/>
            <w:tcMar>
              <w:top w:type="dxa" w:w="120"/>
              <w:left w:type="dxa" w:w="180"/>
              <w:bottom w:type="dxa" w:w="120"/>
              <w:right w:type="dxa" w:w="180"/>
            </w:tcMar>
          </w:tcPr>
          <w:p>
            <w:pPr>
              <w:spacing w:after="40" w:before="0"/>
            </w:pPr>
            <w:r>
              <w:rPr>
                <w:rFonts w:ascii="Arial" w:cs="Arial" w:eastAsia="Arial" w:hAnsi="Arial"/>
                <w:b/>
                <w:bCs/>
                <w:color w:val="534AB7"/>
                <w:sz w:val="20"/>
                <w:szCs w:val="20"/>
              </w:rPr>
              <w:t xml:space="preserve">Ranking Score Formula</w:t>
            </w:r>
          </w:p>
          <w:p>
            <w:pPr>
              <w:spacing w:after="0" w:before="0"/>
            </w:pPr>
            <w:r>
              <w:rPr>
                <w:rFonts w:ascii="Arial" w:cs="Arial" w:eastAsia="Arial" w:hAnsi="Arial"/>
                <w:color w:val="334155"/>
                <w:sz w:val="20"/>
                <w:szCs w:val="20"/>
              </w:rPr>
              <w:t xml:space="preserve">score = (reward_cents / max_reward_in_category) * 0.5  +  close_rate * 0.5  |  New companies (no close rate): ranked by reward_cents only, appended after all scored companies.  |  Paused or archived listings excluded entirely.  |  Score cached in Redis per category for 60 seconds.</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Non-Member Invite Flow</w:t>
      </w:r>
    </w:p>
    <w:p>
      <w:pPr>
        <w:pStyle w:val="ListParagraph"/>
        <w:numPr>
          <w:ilvl w:val="0"/>
          <w:numId w:val="3"/>
        </w:numPr>
        <w:spacing w:after="40" w:before="40"/>
      </w:pPr>
      <w:r>
        <w:rPr>
          <w:rFonts w:ascii="Arial" w:cs="Arial" w:eastAsia="Arial" w:hAnsi="Arial"/>
          <w:color w:val="334155"/>
          <w:sz w:val="22"/>
          <w:szCs w:val="22"/>
        </w:rPr>
        <w:t xml:space="preserve">Lead submitted to a company that has no Lowleads account (identified by phone/email not matching any company)</w:t>
      </w:r>
    </w:p>
    <w:p>
      <w:pPr>
        <w:pStyle w:val="ListParagraph"/>
        <w:numPr>
          <w:ilvl w:val="0"/>
          <w:numId w:val="3"/>
        </w:numPr>
        <w:spacing w:after="40" w:before="40"/>
      </w:pPr>
      <w:r>
        <w:rPr>
          <w:rFonts w:ascii="Arial" w:cs="Arial" w:eastAsia="Arial" w:hAnsi="Arial"/>
          <w:color w:val="334155"/>
          <w:sz w:val="22"/>
          <w:szCs w:val="22"/>
        </w:rPr>
        <w:t xml:space="preserve">System checks: has this phone/email received an invite in the last 48 hours? If yes, suppress duplicate. If no, queue invite job.</w:t>
      </w:r>
    </w:p>
    <w:p>
      <w:pPr>
        <w:pStyle w:val="ListParagraph"/>
        <w:numPr>
          <w:ilvl w:val="0"/>
          <w:numId w:val="3"/>
        </w:numPr>
        <w:spacing w:after="40" w:before="40"/>
      </w:pPr>
      <w:r>
        <w:rPr>
          <w:rFonts w:ascii="Arial" w:cs="Arial" w:eastAsia="Arial" w:hAnsi="Arial"/>
          <w:color w:val="334155"/>
          <w:sz w:val="22"/>
          <w:szCs w:val="22"/>
        </w:rPr>
        <w:t xml:space="preserve">BullMQ invite job: send email via AWS SES with personalized invite link (signed JWT, 7-day expiry, pre-filled company context)</w:t>
      </w:r>
    </w:p>
    <w:p>
      <w:pPr>
        <w:pStyle w:val="ListParagraph"/>
        <w:numPr>
          <w:ilvl w:val="0"/>
          <w:numId w:val="3"/>
        </w:numPr>
        <w:spacing w:after="40" w:before="40"/>
      </w:pPr>
      <w:r>
        <w:rPr>
          <w:rFonts w:ascii="Arial" w:cs="Arial" w:eastAsia="Arial" w:hAnsi="Arial"/>
          <w:color w:val="334155"/>
          <w:sz w:val="22"/>
          <w:szCs w:val="22"/>
        </w:rPr>
        <w:t xml:space="preserve">Twilio SMS: short message with invite link. Sent 10 minutes after email to maximize open rate without overwhelming.</w:t>
      </w:r>
    </w:p>
    <w:p>
      <w:pPr>
        <w:pStyle w:val="ListParagraph"/>
        <w:numPr>
          <w:ilvl w:val="0"/>
          <w:numId w:val="3"/>
        </w:numPr>
        <w:spacing w:after="40" w:before="40"/>
      </w:pPr>
      <w:r>
        <w:rPr>
          <w:rFonts w:ascii="Arial" w:cs="Arial" w:eastAsia="Arial" w:hAnsi="Arial"/>
          <w:color w:val="334155"/>
          <w:sz w:val="22"/>
          <w:szCs w:val="22"/>
        </w:rPr>
        <w:t xml:space="preserve">Invite link routes to /invite/:token — frontend decodes token, pre-fills company name, shows the pending lead (customer name and service only — no contact info yet)</w:t>
      </w:r>
    </w:p>
    <w:p>
      <w:pPr>
        <w:pStyle w:val="ListParagraph"/>
        <w:numPr>
          <w:ilvl w:val="0"/>
          <w:numId w:val="3"/>
        </w:numPr>
        <w:spacing w:after="40" w:before="40"/>
      </w:pPr>
      <w:r>
        <w:rPr>
          <w:rFonts w:ascii="Arial" w:cs="Arial" w:eastAsia="Arial" w:hAnsi="Arial"/>
          <w:color w:val="334155"/>
          <w:sz w:val="22"/>
          <w:szCs w:val="22"/>
        </w:rPr>
        <w:t xml:space="preserve">New company completes registration (free tier). Email verified.</w:t>
      </w:r>
    </w:p>
    <w:p>
      <w:pPr>
        <w:pStyle w:val="ListParagraph"/>
        <w:numPr>
          <w:ilvl w:val="0"/>
          <w:numId w:val="3"/>
        </w:numPr>
        <w:spacing w:after="40" w:before="40"/>
      </w:pPr>
      <w:r>
        <w:rPr>
          <w:rFonts w:ascii="Arial" w:cs="Arial" w:eastAsia="Arial" w:hAnsi="Arial"/>
          <w:color w:val="334155"/>
          <w:sz w:val="22"/>
          <w:szCs w:val="22"/>
        </w:rPr>
        <w:t xml:space="preserve">Escrow prompt: "To accept this lead, fund your escrow with at least [reward_cents]. Recommended reward: [estimated_cac]"</w:t>
      </w:r>
    </w:p>
    <w:p>
      <w:pPr>
        <w:pStyle w:val="ListParagraph"/>
        <w:numPr>
          <w:ilvl w:val="0"/>
          <w:numId w:val="3"/>
        </w:numPr>
        <w:spacing w:after="40" w:before="40"/>
      </w:pPr>
      <w:r>
        <w:rPr>
          <w:rFonts w:ascii="Arial" w:cs="Arial" w:eastAsia="Arial" w:hAnsi="Arial"/>
          <w:color w:val="334155"/>
          <w:sz w:val="22"/>
          <w:szCs w:val="22"/>
        </w:rPr>
        <w:t xml:space="preserve">On escrow fund: lead becomes visible in their inbox. Normal lead lifecycle proceeds.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09 — Subscriptions &amp; Billing</w:t>
            </w:r>
          </w:p>
          <w:p>
            <w:pPr>
              <w:spacing w:after="0" w:before="0"/>
            </w:pPr>
            <w:r>
              <w:rPr>
                <w:rFonts w:ascii="Arial" w:cs="Arial" w:eastAsia="Arial" w:hAnsi="Arial"/>
                <w:color w:val="A7F3D0"/>
                <w:sz w:val="22"/>
                <w:szCs w:val="22"/>
              </w:rPr>
              <w:t xml:space="preserve">Tier enforcement, Stripe Billing integration, and upgrade flows</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Tier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Free</w:t>
            </w:r>
          </w:p>
        </w:tc>
        <w:tc>
          <w:tcPr>
            <w:tcW w:type="dxa" w:w="22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 ($299/mo)</w:t>
            </w:r>
          </w:p>
        </w:tc>
        <w:tc>
          <w:tcPr>
            <w:tcW w:type="dxa" w:w="27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Enterprise ($999/mo)</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 accounts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1</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1</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Multiple (multi-location)</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Technician accounts</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0</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Up to 6</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Unlimited</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Service listings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Unlimited</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Unlimited</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Unlimited</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Submit leads</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(owner only)</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(owner + techs)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 (owner + techs)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Receive leads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Transaction fee</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8% (800 bps)</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6% (600 bps)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4% (400 bps)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Technician dashboard</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Bonus issuance</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Multiple locations</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r>
      <w:tr>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Separate partner networks per location</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2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7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r>
      <w:tr>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Priority search ranking (future)</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2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No</w:t>
            </w:r>
          </w:p>
        </w:tc>
        <w:tc>
          <w:tcPr>
            <w:tcW w:type="dxa" w:w="27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Yes</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Stripe Billing Integration</w:t>
      </w:r>
    </w:p>
    <w:p>
      <w:pPr>
        <w:pStyle w:val="ListParagraph"/>
        <w:numPr>
          <w:ilvl w:val="0"/>
          <w:numId w:val="2"/>
        </w:numPr>
        <w:spacing w:after="40" w:before="40"/>
      </w:pPr>
      <w:r>
        <w:rPr>
          <w:rFonts w:ascii="Arial" w:cs="Arial" w:eastAsia="Arial" w:hAnsi="Arial"/>
          <w:b w:val="false"/>
          <w:bCs w:val="false"/>
          <w:color w:val="334155"/>
          <w:sz w:val="22"/>
          <w:szCs w:val="22"/>
        </w:rPr>
        <w:t xml:space="preserve">Subscriptions managed via Stripe Billing. Each tier maps to a Stripe Price ID stored in config (not hardcoded)</w:t>
      </w:r>
    </w:p>
    <w:p>
      <w:pPr>
        <w:pStyle w:val="ListParagraph"/>
        <w:numPr>
          <w:ilvl w:val="0"/>
          <w:numId w:val="2"/>
        </w:numPr>
        <w:spacing w:after="40" w:before="40"/>
      </w:pPr>
      <w:r>
        <w:rPr>
          <w:rFonts w:ascii="Arial" w:cs="Arial" w:eastAsia="Arial" w:hAnsi="Arial"/>
          <w:b w:val="false"/>
          <w:bCs w:val="false"/>
          <w:color w:val="334155"/>
          <w:sz w:val="22"/>
          <w:szCs w:val="22"/>
        </w:rPr>
        <w:t xml:space="preserve">Webhook events handled: customer.subscription.updated, customer.subscription.deleted, invoice.payment_failed, invoice.payment_succeeded</w:t>
      </w:r>
    </w:p>
    <w:p>
      <w:pPr>
        <w:pStyle w:val="ListParagraph"/>
        <w:numPr>
          <w:ilvl w:val="0"/>
          <w:numId w:val="2"/>
        </w:numPr>
        <w:spacing w:after="40" w:before="40"/>
      </w:pPr>
      <w:r>
        <w:rPr>
          <w:rFonts w:ascii="Arial" w:cs="Arial" w:eastAsia="Arial" w:hAnsi="Arial"/>
          <w:b w:val="false"/>
          <w:bCs w:val="false"/>
          <w:color w:val="334155"/>
          <w:sz w:val="22"/>
          <w:szCs w:val="22"/>
        </w:rPr>
        <w:t xml:space="preserve">On payment failure: subscription_status set to past_due. Grace period: 7 days before downgrade to free tier. Three dunning emails sent via Stripe dunning configuration</w:t>
      </w:r>
    </w:p>
    <w:p>
      <w:pPr>
        <w:pStyle w:val="ListParagraph"/>
        <w:numPr>
          <w:ilvl w:val="0"/>
          <w:numId w:val="2"/>
        </w:numPr>
        <w:spacing w:after="40" w:before="40"/>
      </w:pPr>
      <w:r>
        <w:rPr>
          <w:rFonts w:ascii="Arial" w:cs="Arial" w:eastAsia="Arial" w:hAnsi="Arial"/>
          <w:b w:val="false"/>
          <w:bCs w:val="false"/>
          <w:color w:val="334155"/>
          <w:sz w:val="22"/>
          <w:szCs w:val="22"/>
        </w:rPr>
        <w:t xml:space="preserve">Downgrade to free: technician accounts are soft-disabled (not deleted). Data preserved. Reactive on upgrade.</w:t>
      </w:r>
    </w:p>
    <w:p>
      <w:pPr>
        <w:pStyle w:val="ListParagraph"/>
        <w:numPr>
          <w:ilvl w:val="0"/>
          <w:numId w:val="2"/>
        </w:numPr>
        <w:spacing w:after="40" w:before="40"/>
      </w:pPr>
      <w:r>
        <w:rPr>
          <w:rFonts w:ascii="Arial" w:cs="Arial" w:eastAsia="Arial" w:hAnsi="Arial"/>
          <w:b w:val="false"/>
          <w:bCs w:val="false"/>
          <w:color w:val="334155"/>
          <w:sz w:val="22"/>
          <w:szCs w:val="22"/>
        </w:rPr>
        <w:t xml:space="preserve">Upgrade: immediate — fee rate updated in companies.transaction_fee_bps on webhook confirmation. Prorated charge via Stripe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10 — CI/CD, Testing &amp; Observability</w:t>
            </w:r>
          </w:p>
          <w:p>
            <w:pPr>
              <w:spacing w:after="0" w:before="0"/>
            </w:pPr>
            <w:r>
              <w:rPr>
                <w:rFonts w:ascii="Arial" w:cs="Arial" w:eastAsia="Arial" w:hAnsi="Arial"/>
                <w:color w:val="A7F3D0"/>
                <w:sz w:val="22"/>
                <w:szCs w:val="22"/>
              </w:rPr>
              <w:t xml:space="preserve">Pipeline design, test strategy, monitoring, and alerting</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CI/CD Pipeline (GitHub Actions)</w:t>
      </w:r>
    </w:p>
    <w:p>
      <w:pPr>
        <w:pStyle w:val="ListParagraph"/>
        <w:numPr>
          <w:ilvl w:val="0"/>
          <w:numId w:val="3"/>
        </w:numPr>
        <w:spacing w:after="40" w:before="40"/>
      </w:pPr>
      <w:r>
        <w:rPr>
          <w:rFonts w:ascii="Arial" w:cs="Arial" w:eastAsia="Arial" w:hAnsi="Arial"/>
          <w:color w:val="334155"/>
          <w:sz w:val="22"/>
          <w:szCs w:val="22"/>
        </w:rPr>
        <w:t xml:space="preserve">Trigger: push to any branch, PR to main</w:t>
      </w:r>
    </w:p>
    <w:p>
      <w:pPr>
        <w:pStyle w:val="ListParagraph"/>
        <w:numPr>
          <w:ilvl w:val="0"/>
          <w:numId w:val="3"/>
        </w:numPr>
        <w:spacing w:after="40" w:before="40"/>
      </w:pPr>
      <w:r>
        <w:rPr>
          <w:rFonts w:ascii="Arial" w:cs="Arial" w:eastAsia="Arial" w:hAnsi="Arial"/>
          <w:color w:val="334155"/>
          <w:sz w:val="22"/>
          <w:szCs w:val="22"/>
        </w:rPr>
        <w:t xml:space="preserve">Lint: ESLint + Prettier. Fail on any error. No warnings allowed in main branch.</w:t>
      </w:r>
    </w:p>
    <w:p>
      <w:pPr>
        <w:pStyle w:val="ListParagraph"/>
        <w:numPr>
          <w:ilvl w:val="0"/>
          <w:numId w:val="3"/>
        </w:numPr>
        <w:spacing w:after="40" w:before="40"/>
      </w:pPr>
      <w:r>
        <w:rPr>
          <w:rFonts w:ascii="Arial" w:cs="Arial" w:eastAsia="Arial" w:hAnsi="Arial"/>
          <w:color w:val="334155"/>
          <w:sz w:val="22"/>
          <w:szCs w:val="22"/>
        </w:rPr>
        <w:t xml:space="preserve">Type check: tsc --noEmit. Zero type errors required.</w:t>
      </w:r>
    </w:p>
    <w:p>
      <w:pPr>
        <w:pStyle w:val="ListParagraph"/>
        <w:numPr>
          <w:ilvl w:val="0"/>
          <w:numId w:val="3"/>
        </w:numPr>
        <w:spacing w:after="40" w:before="40"/>
      </w:pPr>
      <w:r>
        <w:rPr>
          <w:rFonts w:ascii="Arial" w:cs="Arial" w:eastAsia="Arial" w:hAnsi="Arial"/>
          <w:color w:val="334155"/>
          <w:sz w:val="22"/>
          <w:szCs w:val="22"/>
        </w:rPr>
        <w:t xml:space="preserve">Unit tests: Jest. Minimum 80% line coverage on service-layer code. Coverage report posted to PR.</w:t>
      </w:r>
    </w:p>
    <w:p>
      <w:pPr>
        <w:pStyle w:val="ListParagraph"/>
        <w:numPr>
          <w:ilvl w:val="0"/>
          <w:numId w:val="3"/>
        </w:numPr>
        <w:spacing w:after="40" w:before="40"/>
      </w:pPr>
      <w:r>
        <w:rPr>
          <w:rFonts w:ascii="Arial" w:cs="Arial" w:eastAsia="Arial" w:hAnsi="Arial"/>
          <w:color w:val="334155"/>
          <w:sz w:val="22"/>
          <w:szCs w:val="22"/>
        </w:rPr>
        <w:t xml:space="preserve">Integration tests: Docker Compose spins up PostgreSQL + Redis. Full API test suite against real DB.</w:t>
      </w:r>
    </w:p>
    <w:p>
      <w:pPr>
        <w:pStyle w:val="ListParagraph"/>
        <w:numPr>
          <w:ilvl w:val="0"/>
          <w:numId w:val="3"/>
        </w:numPr>
        <w:spacing w:after="40" w:before="40"/>
      </w:pPr>
      <w:r>
        <w:rPr>
          <w:rFonts w:ascii="Arial" w:cs="Arial" w:eastAsia="Arial" w:hAnsi="Arial"/>
          <w:color w:val="334155"/>
          <w:sz w:val="22"/>
          <w:szCs w:val="22"/>
        </w:rPr>
        <w:t xml:space="preserve">Security scan: npm audit (fail on critical/high), Snyk SAST scan, GitHub CodeQL analysis</w:t>
      </w:r>
    </w:p>
    <w:p>
      <w:pPr>
        <w:pStyle w:val="ListParagraph"/>
        <w:numPr>
          <w:ilvl w:val="0"/>
          <w:numId w:val="3"/>
        </w:numPr>
        <w:spacing w:after="40" w:before="40"/>
      </w:pPr>
      <w:r>
        <w:rPr>
          <w:rFonts w:ascii="Arial" w:cs="Arial" w:eastAsia="Arial" w:hAnsi="Arial"/>
          <w:color w:val="334155"/>
          <w:sz w:val="22"/>
          <w:szCs w:val="22"/>
        </w:rPr>
        <w:t xml:space="preserve">Docker build: multi-stage Dockerfile. Final image: distroless Node base (no shell, no package manager — minimized attack surface)</w:t>
      </w:r>
    </w:p>
    <w:p>
      <w:pPr>
        <w:pStyle w:val="ListParagraph"/>
        <w:numPr>
          <w:ilvl w:val="0"/>
          <w:numId w:val="3"/>
        </w:numPr>
        <w:spacing w:after="40" w:before="40"/>
      </w:pPr>
      <w:r>
        <w:rPr>
          <w:rFonts w:ascii="Arial" w:cs="Arial" w:eastAsia="Arial" w:hAnsi="Arial"/>
          <w:color w:val="334155"/>
          <w:sz w:val="22"/>
          <w:szCs w:val="22"/>
        </w:rPr>
        <w:t xml:space="preserve">Push to ECR: tagged with git SHA. Only signed images (Docker Content Trust) accepted by ECS</w:t>
      </w:r>
    </w:p>
    <w:p>
      <w:pPr>
        <w:pStyle w:val="ListParagraph"/>
        <w:numPr>
          <w:ilvl w:val="0"/>
          <w:numId w:val="3"/>
        </w:numPr>
        <w:spacing w:after="40" w:before="40"/>
      </w:pPr>
      <w:r>
        <w:rPr>
          <w:rFonts w:ascii="Arial" w:cs="Arial" w:eastAsia="Arial" w:hAnsi="Arial"/>
          <w:color w:val="334155"/>
          <w:sz w:val="22"/>
          <w:szCs w:val="22"/>
        </w:rPr>
        <w:t xml:space="preserve">Deploy to staging: automatic on merge to main. ECS rolling update. Smoke tests run against staging.</w:t>
      </w:r>
    </w:p>
    <w:p>
      <w:pPr>
        <w:pStyle w:val="ListParagraph"/>
        <w:numPr>
          <w:ilvl w:val="0"/>
          <w:numId w:val="3"/>
        </w:numPr>
        <w:spacing w:after="40" w:before="40"/>
      </w:pPr>
      <w:r>
        <w:rPr>
          <w:rFonts w:ascii="Arial" w:cs="Arial" w:eastAsia="Arial" w:hAnsi="Arial"/>
          <w:color w:val="334155"/>
          <w:sz w:val="22"/>
          <w:szCs w:val="22"/>
        </w:rPr>
        <w:t xml:space="preserve">Deploy to production: manual approval required. Blue/green deployment via ECS. Automatic rollback if health checks fail within 5 minutes.</w:t>
      </w:r>
    </w:p>
    <w:p>
      <w:pPr>
        <w:spacing w:before="160"/>
      </w:pPr>
      <w:r>
        <w:t xml:space="preserve"/>
      </w:r>
    </w:p>
    <w:p>
      <w:pPr>
        <w:pStyle w:val="Heading2"/>
        <w:spacing w:after="120" w:before="320"/>
      </w:pPr>
      <w:r>
        <w:rPr>
          <w:rFonts w:ascii="Arial" w:cs="Arial" w:eastAsia="Arial" w:hAnsi="Arial"/>
          <w:b/>
          <w:bCs/>
          <w:color w:val="0F6E56"/>
          <w:sz w:val="28"/>
          <w:szCs w:val="28"/>
        </w:rPr>
        <w:t xml:space="preserve">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Test Type</w:t>
            </w:r>
          </w:p>
        </w:tc>
        <w:tc>
          <w:tcPr>
            <w:tcW w:type="dxa" w:w="39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Tool</w:t>
            </w:r>
          </w:p>
        </w:tc>
        <w:tc>
          <w:tcPr>
            <w:tcW w:type="dxa" w:w="30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Coverage Target</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Unit tests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Jest + ts-jest</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80% line coverage on all service classes. All financial calculation functions: 100%.</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Integration tests</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Supertest + Jest</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All API endpoints. All status transition combinations. All escrow payout scenarios.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E2E tests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Playwright</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Critical user journeys: register, create listing, submit lead, mark sale, receive payout.</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Security tests</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OWASP ZAP (automated)</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Run weekly against staging. SQL injection, XSS, auth bypass, IDOR probes.</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Load tests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k6</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Run before each major release. 500 concurrent users, 10-minute sustained load. P99 &lt; 400ms target.</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tests</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 CLI + webhook fixtures</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All webhook event types exercised in integration test suite. No live Stripe calls in CI.</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Observability</w:t>
      </w:r>
    </w:p>
    <w:p>
      <w:pPr>
        <w:pStyle w:val="ListParagraph"/>
        <w:numPr>
          <w:ilvl w:val="0"/>
          <w:numId w:val="2"/>
        </w:numPr>
        <w:spacing w:after="40" w:before="40"/>
      </w:pPr>
      <w:r>
        <w:rPr>
          <w:rFonts w:ascii="Arial" w:cs="Arial" w:eastAsia="Arial" w:hAnsi="Arial"/>
          <w:b w:val="false"/>
          <w:bCs w:val="false"/>
          <w:color w:val="334155"/>
          <w:sz w:val="22"/>
          <w:szCs w:val="22"/>
        </w:rPr>
        <w:t xml:space="preserve">Structured logging: all logs emit JSON with trace_id, user_id (hashed), service, level, duration_ms. No PII in logs.</w:t>
      </w:r>
    </w:p>
    <w:p>
      <w:pPr>
        <w:pStyle w:val="ListParagraph"/>
        <w:numPr>
          <w:ilvl w:val="0"/>
          <w:numId w:val="2"/>
        </w:numPr>
        <w:spacing w:after="40" w:before="40"/>
      </w:pPr>
      <w:r>
        <w:rPr>
          <w:rFonts w:ascii="Arial" w:cs="Arial" w:eastAsia="Arial" w:hAnsi="Arial"/>
          <w:b w:val="false"/>
          <w:bCs w:val="false"/>
          <w:color w:val="334155"/>
          <w:sz w:val="22"/>
          <w:szCs w:val="22"/>
        </w:rPr>
        <w:t xml:space="preserve">Distributed tracing: Datadog APM with trace propagation across async BullMQ jobs. Every lead lifecycle event traceable end-to-end.</w:t>
      </w:r>
    </w:p>
    <w:p>
      <w:pPr>
        <w:pStyle w:val="ListParagraph"/>
        <w:numPr>
          <w:ilvl w:val="0"/>
          <w:numId w:val="2"/>
        </w:numPr>
        <w:spacing w:after="40" w:before="40"/>
      </w:pPr>
      <w:r>
        <w:rPr>
          <w:rFonts w:ascii="Arial" w:cs="Arial" w:eastAsia="Arial" w:hAnsi="Arial"/>
          <w:b w:val="false"/>
          <w:bCs w:val="false"/>
          <w:color w:val="334155"/>
          <w:sz w:val="22"/>
          <w:szCs w:val="22"/>
        </w:rPr>
        <w:t xml:space="preserve">Metrics: custom business metrics emitted to Datadog: leads_submitted_per_hour, escrow_payouts_per_hour, invite_conversion_rate, close_rate_by_category</w:t>
      </w:r>
    </w:p>
    <w:p>
      <w:pPr>
        <w:pStyle w:val="ListParagraph"/>
        <w:numPr>
          <w:ilvl w:val="0"/>
          <w:numId w:val="2"/>
        </w:numPr>
        <w:spacing w:after="40" w:before="40"/>
      </w:pPr>
      <w:r>
        <w:rPr>
          <w:rFonts w:ascii="Arial" w:cs="Arial" w:eastAsia="Arial" w:hAnsi="Arial"/>
          <w:b w:val="false"/>
          <w:bCs w:val="false"/>
          <w:color w:val="334155"/>
          <w:sz w:val="22"/>
          <w:szCs w:val="22"/>
        </w:rPr>
        <w:t xml:space="preserve">Alerting: PagerDuty on-call rotation. Alert thresholds: API error rate &gt; 1% (P2), P99 latency &gt; 1s (P2), any 5xx on /webhooks/stripe (P1), escrow payout failure (P1)</w:t>
      </w:r>
    </w:p>
    <w:p>
      <w:pPr>
        <w:pStyle w:val="ListParagraph"/>
        <w:numPr>
          <w:ilvl w:val="0"/>
          <w:numId w:val="2"/>
        </w:numPr>
        <w:spacing w:after="40" w:before="40"/>
      </w:pPr>
      <w:r>
        <w:rPr>
          <w:rFonts w:ascii="Arial" w:cs="Arial" w:eastAsia="Arial" w:hAnsi="Arial"/>
          <w:b w:val="false"/>
          <w:bCs w:val="false"/>
          <w:color w:val="334155"/>
          <w:sz w:val="22"/>
          <w:szCs w:val="22"/>
        </w:rPr>
        <w:t xml:space="preserve">Uptime monitoring: Datadog Synthetics on all critical endpoints every 60 seconds from 3 geographic locations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11 — MVP Launch Plan</w:t>
            </w:r>
          </w:p>
          <w:p>
            <w:pPr>
              <w:spacing w:after="0" w:before="0"/>
            </w:pPr>
            <w:r>
              <w:rPr>
                <w:rFonts w:ascii="Arial" w:cs="Arial" w:eastAsia="Arial" w:hAnsi="Arial"/>
                <w:color w:val="A7F3D0"/>
                <w:sz w:val="22"/>
                <w:szCs w:val="22"/>
              </w:rPr>
              <w:t xml:space="preserve">Build phases, milestones, and go-to-market sequencing</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Phase 1 — Foundation (Weeks 1–4)</w:t>
      </w:r>
    </w:p>
    <w:p>
      <w:pPr>
        <w:pStyle w:val="ListParagraph"/>
        <w:numPr>
          <w:ilvl w:val="0"/>
          <w:numId w:val="2"/>
        </w:numPr>
        <w:spacing w:after="40" w:before="40"/>
      </w:pPr>
      <w:r>
        <w:rPr>
          <w:rFonts w:ascii="Arial" w:cs="Arial" w:eastAsia="Arial" w:hAnsi="Arial"/>
          <w:b w:val="false"/>
          <w:bCs w:val="false"/>
          <w:color w:val="334155"/>
          <w:sz w:val="22"/>
          <w:szCs w:val="22"/>
        </w:rPr>
        <w:t xml:space="preserve">Infrastructure: Terraform scripts for VPC, ECS, RDS, ElastiCache, S3, Secrets Manager, CloudFront</w:t>
      </w:r>
    </w:p>
    <w:p>
      <w:pPr>
        <w:pStyle w:val="ListParagraph"/>
        <w:numPr>
          <w:ilvl w:val="0"/>
          <w:numId w:val="2"/>
        </w:numPr>
        <w:spacing w:after="40" w:before="40"/>
      </w:pPr>
      <w:r>
        <w:rPr>
          <w:rFonts w:ascii="Arial" w:cs="Arial" w:eastAsia="Arial" w:hAnsi="Arial"/>
          <w:b w:val="false"/>
          <w:bCs w:val="false"/>
          <w:color w:val="334155"/>
          <w:sz w:val="22"/>
          <w:szCs w:val="22"/>
        </w:rPr>
        <w:t xml:space="preserve">Authentication service: register, login, MFA setup, refresh token rotation, password reset</w:t>
      </w:r>
    </w:p>
    <w:p>
      <w:pPr>
        <w:pStyle w:val="ListParagraph"/>
        <w:numPr>
          <w:ilvl w:val="0"/>
          <w:numId w:val="2"/>
        </w:numPr>
        <w:spacing w:after="40" w:before="40"/>
      </w:pPr>
      <w:r>
        <w:rPr>
          <w:rFonts w:ascii="Arial" w:cs="Arial" w:eastAsia="Arial" w:hAnsi="Arial"/>
          <w:b w:val="false"/>
          <w:bCs w:val="false"/>
          <w:color w:val="334155"/>
          <w:sz w:val="22"/>
          <w:szCs w:val="22"/>
        </w:rPr>
        <w:t xml:space="preserve">Company service: create company, invite technician, subscription tier enforcement</w:t>
      </w:r>
    </w:p>
    <w:p>
      <w:pPr>
        <w:pStyle w:val="ListParagraph"/>
        <w:numPr>
          <w:ilvl w:val="0"/>
          <w:numId w:val="2"/>
        </w:numPr>
        <w:spacing w:after="40" w:before="40"/>
      </w:pPr>
      <w:r>
        <w:rPr>
          <w:rFonts w:ascii="Arial" w:cs="Arial" w:eastAsia="Arial" w:hAnsi="Arial"/>
          <w:b w:val="false"/>
          <w:bCs w:val="false"/>
          <w:color w:val="334155"/>
          <w:sz w:val="22"/>
          <w:szCs w:val="22"/>
        </w:rPr>
        <w:t xml:space="preserve">CI/CD pipeline: GitHub Actions with lint, test, security scan, staging deploy</w:t>
      </w:r>
    </w:p>
    <w:p>
      <w:pPr>
        <w:pStyle w:val="ListParagraph"/>
        <w:numPr>
          <w:ilvl w:val="0"/>
          <w:numId w:val="2"/>
        </w:numPr>
        <w:spacing w:after="40" w:before="40"/>
      </w:pPr>
      <w:r>
        <w:rPr>
          <w:rFonts w:ascii="Arial" w:cs="Arial" w:eastAsia="Arial" w:hAnsi="Arial"/>
          <w:b w:val="false"/>
          <w:bCs w:val="false"/>
          <w:color w:val="334155"/>
          <w:sz w:val="22"/>
          <w:szCs w:val="22"/>
        </w:rPr>
        <w:t xml:space="preserve">Database migrations: all core tables, indexes, RLS policies, audit trigger</w:t>
      </w:r>
    </w:p>
    <w:p>
      <w:pPr>
        <w:spacing w:before="160"/>
      </w:pPr>
      <w:r>
        <w:t xml:space="preserve"/>
      </w:r>
    </w:p>
    <w:p>
      <w:pPr>
        <w:pStyle w:val="Heading2"/>
        <w:spacing w:after="120" w:before="320"/>
      </w:pPr>
      <w:r>
        <w:rPr>
          <w:rFonts w:ascii="Arial" w:cs="Arial" w:eastAsia="Arial" w:hAnsi="Arial"/>
          <w:b/>
          <w:bCs/>
          <w:color w:val="0F6E56"/>
          <w:sz w:val="28"/>
          <w:szCs w:val="28"/>
        </w:rPr>
        <w:t xml:space="preserve">Phase 2 — Core Product (Weeks 5–8)</w:t>
      </w:r>
    </w:p>
    <w:p>
      <w:pPr>
        <w:pStyle w:val="ListParagraph"/>
        <w:numPr>
          <w:ilvl w:val="0"/>
          <w:numId w:val="2"/>
        </w:numPr>
        <w:spacing w:after="40" w:before="40"/>
      </w:pPr>
      <w:r>
        <w:rPr>
          <w:rFonts w:ascii="Arial" w:cs="Arial" w:eastAsia="Arial" w:hAnsi="Arial"/>
          <w:b w:val="false"/>
          <w:bCs w:val="false"/>
          <w:color w:val="334155"/>
          <w:sz w:val="22"/>
          <w:szCs w:val="22"/>
        </w:rPr>
        <w:t xml:space="preserve">Listing service: create/edit listing, escrow reserve calculation, auto-replenish setup</w:t>
      </w:r>
    </w:p>
    <w:p>
      <w:pPr>
        <w:pStyle w:val="ListParagraph"/>
        <w:numPr>
          <w:ilvl w:val="0"/>
          <w:numId w:val="2"/>
        </w:numPr>
        <w:spacing w:after="40" w:before="40"/>
      </w:pPr>
      <w:r>
        <w:rPr>
          <w:rFonts w:ascii="Arial" w:cs="Arial" w:eastAsia="Arial" w:hAnsi="Arial"/>
          <w:b w:val="false"/>
          <w:bCs w:val="false"/>
          <w:color w:val="334155"/>
          <w:sz w:val="22"/>
          <w:szCs w:val="22"/>
        </w:rPr>
        <w:t xml:space="preserve">Stripe integration: Connect onboarding, escrow deposit, webhook handler, payout flow</w:t>
      </w:r>
    </w:p>
    <w:p>
      <w:pPr>
        <w:pStyle w:val="ListParagraph"/>
        <w:numPr>
          <w:ilvl w:val="0"/>
          <w:numId w:val="2"/>
        </w:numPr>
        <w:spacing w:after="40" w:before="40"/>
      </w:pPr>
      <w:r>
        <w:rPr>
          <w:rFonts w:ascii="Arial" w:cs="Arial" w:eastAsia="Arial" w:hAnsi="Arial"/>
          <w:b w:val="false"/>
          <w:bCs w:val="false"/>
          <w:color w:val="334155"/>
          <w:sz w:val="22"/>
          <w:szCs w:val="22"/>
        </w:rPr>
        <w:t xml:space="preserve">Lead service: submission, PII encryption, inbox API, status transitions, escrow release</w:t>
      </w:r>
    </w:p>
    <w:p>
      <w:pPr>
        <w:pStyle w:val="ListParagraph"/>
        <w:numPr>
          <w:ilvl w:val="0"/>
          <w:numId w:val="2"/>
        </w:numPr>
        <w:spacing w:after="40" w:before="40"/>
      </w:pPr>
      <w:r>
        <w:rPr>
          <w:rFonts w:ascii="Arial" w:cs="Arial" w:eastAsia="Arial" w:hAnsi="Arial"/>
          <w:b w:val="false"/>
          <w:bCs w:val="false"/>
          <w:color w:val="334155"/>
          <w:sz w:val="22"/>
          <w:szCs w:val="22"/>
        </w:rPr>
        <w:t xml:space="preserve">Notification service: BullMQ workers, SES email templates, Twilio SMS</w:t>
      </w:r>
    </w:p>
    <w:p>
      <w:pPr>
        <w:pStyle w:val="ListParagraph"/>
        <w:numPr>
          <w:ilvl w:val="0"/>
          <w:numId w:val="2"/>
        </w:numPr>
        <w:spacing w:after="40" w:before="40"/>
      </w:pPr>
      <w:r>
        <w:rPr>
          <w:rFonts w:ascii="Arial" w:cs="Arial" w:eastAsia="Arial" w:hAnsi="Arial"/>
          <w:b w:val="false"/>
          <w:bCs w:val="false"/>
          <w:color w:val="334155"/>
          <w:sz w:val="22"/>
          <w:szCs w:val="22"/>
        </w:rPr>
        <w:t xml:space="preserve">Search service: FTS indexing, ranking algorithm, category filter</w:t>
      </w:r>
    </w:p>
    <w:p>
      <w:pPr>
        <w:spacing w:before="160"/>
      </w:pPr>
      <w:r>
        <w:t xml:space="preserve"/>
      </w:r>
    </w:p>
    <w:p>
      <w:pPr>
        <w:pStyle w:val="Heading2"/>
        <w:spacing w:after="120" w:before="320"/>
      </w:pPr>
      <w:r>
        <w:rPr>
          <w:rFonts w:ascii="Arial" w:cs="Arial" w:eastAsia="Arial" w:hAnsi="Arial"/>
          <w:b/>
          <w:bCs/>
          <w:color w:val="0F6E56"/>
          <w:sz w:val="28"/>
          <w:szCs w:val="28"/>
        </w:rPr>
        <w:t xml:space="preserve">Phase 3 — Invite &amp; Growth (Weeks 9–10)</w:t>
      </w:r>
    </w:p>
    <w:p>
      <w:pPr>
        <w:pStyle w:val="ListParagraph"/>
        <w:numPr>
          <w:ilvl w:val="0"/>
          <w:numId w:val="2"/>
        </w:numPr>
        <w:spacing w:after="40" w:before="40"/>
      </w:pPr>
      <w:r>
        <w:rPr>
          <w:rFonts w:ascii="Arial" w:cs="Arial" w:eastAsia="Arial" w:hAnsi="Arial"/>
          <w:b w:val="false"/>
          <w:bCs w:val="false"/>
          <w:color w:val="334155"/>
          <w:sz w:val="22"/>
          <w:szCs w:val="22"/>
        </w:rPr>
        <w:t xml:space="preserve">Non-member invite flow: signed JWT invite links, landing page, pre-filled onboarding</w:t>
      </w:r>
    </w:p>
    <w:p>
      <w:pPr>
        <w:pStyle w:val="ListParagraph"/>
        <w:numPr>
          <w:ilvl w:val="0"/>
          <w:numId w:val="2"/>
        </w:numPr>
        <w:spacing w:after="40" w:before="40"/>
      </w:pPr>
      <w:r>
        <w:rPr>
          <w:rFonts w:ascii="Arial" w:cs="Arial" w:eastAsia="Arial" w:hAnsi="Arial"/>
          <w:b w:val="false"/>
          <w:bCs w:val="false"/>
          <w:color w:val="334155"/>
          <w:sz w:val="22"/>
          <w:szCs w:val="22"/>
        </w:rPr>
        <w:t xml:space="preserve">Analytics: close rate triggers, technician stats, company dashboard metrics</w:t>
      </w:r>
    </w:p>
    <w:p>
      <w:pPr>
        <w:pStyle w:val="ListParagraph"/>
        <w:numPr>
          <w:ilvl w:val="0"/>
          <w:numId w:val="2"/>
        </w:numPr>
        <w:spacing w:after="40" w:before="40"/>
      </w:pPr>
      <w:r>
        <w:rPr>
          <w:rFonts w:ascii="Arial" w:cs="Arial" w:eastAsia="Arial" w:hAnsi="Arial"/>
          <w:b w:val="false"/>
          <w:bCs w:val="false"/>
          <w:color w:val="334155"/>
          <w:sz w:val="22"/>
          <w:szCs w:val="22"/>
        </w:rPr>
        <w:t xml:space="preserve">Frontend: Next.js app — auth flows, dashboard, lead inbox, listing forms, search</w:t>
      </w:r>
    </w:p>
    <w:p>
      <w:pPr>
        <w:spacing w:before="160"/>
      </w:pPr>
      <w:r>
        <w:t xml:space="preserve"/>
      </w:r>
    </w:p>
    <w:p>
      <w:pPr>
        <w:pStyle w:val="Heading2"/>
        <w:spacing w:after="120" w:before="320"/>
      </w:pPr>
      <w:r>
        <w:rPr>
          <w:rFonts w:ascii="Arial" w:cs="Arial" w:eastAsia="Arial" w:hAnsi="Arial"/>
          <w:b/>
          <w:bCs/>
          <w:color w:val="0F6E56"/>
          <w:sz w:val="28"/>
          <w:szCs w:val="28"/>
        </w:rPr>
        <w:t xml:space="preserve">Phase 4 — Hardening (Weeks 11–12)</w:t>
      </w:r>
    </w:p>
    <w:p>
      <w:pPr>
        <w:pStyle w:val="ListParagraph"/>
        <w:numPr>
          <w:ilvl w:val="0"/>
          <w:numId w:val="2"/>
        </w:numPr>
        <w:spacing w:after="40" w:before="40"/>
      </w:pPr>
      <w:r>
        <w:rPr>
          <w:rFonts w:ascii="Arial" w:cs="Arial" w:eastAsia="Arial" w:hAnsi="Arial"/>
          <w:b w:val="false"/>
          <w:bCs w:val="false"/>
          <w:color w:val="334155"/>
          <w:sz w:val="22"/>
          <w:szCs w:val="22"/>
        </w:rPr>
        <w:t xml:space="preserve">Security audit: internal OWASP ZAP scan, penetration test by third-party (recommended: Cobalt or Synack)</w:t>
      </w:r>
    </w:p>
    <w:p>
      <w:pPr>
        <w:pStyle w:val="ListParagraph"/>
        <w:numPr>
          <w:ilvl w:val="0"/>
          <w:numId w:val="2"/>
        </w:numPr>
        <w:spacing w:after="40" w:before="40"/>
      </w:pPr>
      <w:r>
        <w:rPr>
          <w:rFonts w:ascii="Arial" w:cs="Arial" w:eastAsia="Arial" w:hAnsi="Arial"/>
          <w:b w:val="false"/>
          <w:bCs w:val="false"/>
          <w:color w:val="334155"/>
          <w:sz w:val="22"/>
          <w:szCs w:val="22"/>
        </w:rPr>
        <w:t xml:space="preserve">Load testing: k6 at 500 concurrent users. Identify and resolve any bottlenecks.</w:t>
      </w:r>
    </w:p>
    <w:p>
      <w:pPr>
        <w:pStyle w:val="ListParagraph"/>
        <w:numPr>
          <w:ilvl w:val="0"/>
          <w:numId w:val="2"/>
        </w:numPr>
        <w:spacing w:after="40" w:before="40"/>
      </w:pPr>
      <w:r>
        <w:rPr>
          <w:rFonts w:ascii="Arial" w:cs="Arial" w:eastAsia="Arial" w:hAnsi="Arial"/>
          <w:b w:val="false"/>
          <w:bCs w:val="false"/>
          <w:color w:val="334155"/>
          <w:sz w:val="22"/>
          <w:szCs w:val="22"/>
        </w:rPr>
        <w:t xml:space="preserve">Runbook documentation: incident response procedures for all P1/P2 alert scenarios</w:t>
      </w:r>
    </w:p>
    <w:p>
      <w:pPr>
        <w:pStyle w:val="ListParagraph"/>
        <w:numPr>
          <w:ilvl w:val="0"/>
          <w:numId w:val="2"/>
        </w:numPr>
        <w:spacing w:after="40" w:before="40"/>
      </w:pPr>
      <w:r>
        <w:rPr>
          <w:rFonts w:ascii="Arial" w:cs="Arial" w:eastAsia="Arial" w:hAnsi="Arial"/>
          <w:b w:val="false"/>
          <w:bCs w:val="false"/>
          <w:color w:val="334155"/>
          <w:sz w:val="22"/>
          <w:szCs w:val="22"/>
        </w:rPr>
        <w:t xml:space="preserve">Soft launch: 20 invited Phoenix-area businesses. Monitor metrics for 2 weeks before public launch.</w:t>
      </w:r>
    </w:p>
    <w:p>
      <w:pPr>
        <w:pStyle w:val="ListParagraph"/>
        <w:numPr>
          <w:ilvl w:val="0"/>
          <w:numId w:val="2"/>
        </w:numPr>
        <w:spacing w:after="40" w:before="40"/>
      </w:pPr>
      <w:r>
        <w:rPr>
          <w:rFonts w:ascii="Arial" w:cs="Arial" w:eastAsia="Arial" w:hAnsi="Arial"/>
          <w:b w:val="false"/>
          <w:bCs w:val="false"/>
          <w:color w:val="334155"/>
          <w:sz w:val="22"/>
          <w:szCs w:val="22"/>
        </w:rPr>
        <w:t xml:space="preserve">Public launch: Product Hunt listing, direct outreach to Phoenix trade associations</w:t>
      </w:r>
    </w:p>
    <w:p>
      <w:pPr>
        <w:spacing w:before="160"/>
      </w:pPr>
      <w:r>
        <w:t xml:space="preserve"/>
      </w:r>
    </w:p>
    <w:p>
      <w:pPr>
        <w:pStyle w:val="Heading2"/>
        <w:spacing w:after="120" w:before="320"/>
      </w:pPr>
      <w:r>
        <w:rPr>
          <w:rFonts w:ascii="Arial" w:cs="Arial" w:eastAsia="Arial" w:hAnsi="Arial"/>
          <w:b/>
          <w:bCs/>
          <w:color w:val="0F6E56"/>
          <w:sz w:val="28"/>
          <w:szCs w:val="28"/>
        </w:rPr>
        <w:t xml:space="preserve">Post-MVP Roadmap (Phase 5+)</w:t>
      </w:r>
    </w:p>
    <w:p>
      <w:pPr>
        <w:pStyle w:val="ListParagraph"/>
        <w:numPr>
          <w:ilvl w:val="0"/>
          <w:numId w:val="2"/>
        </w:numPr>
        <w:spacing w:after="40" w:before="40"/>
      </w:pPr>
      <w:r>
        <w:rPr>
          <w:rFonts w:ascii="Arial" w:cs="Arial" w:eastAsia="Arial" w:hAnsi="Arial"/>
          <w:b w:val="false"/>
          <w:bCs w:val="false"/>
          <w:color w:val="334155"/>
          <w:sz w:val="22"/>
          <w:szCs w:val="22"/>
        </w:rPr>
        <w:t xml:space="preserve">Mobile apps (React Native) — technicians primarily submit leads from job sites</w:t>
      </w:r>
    </w:p>
    <w:p>
      <w:pPr>
        <w:pStyle w:val="ListParagraph"/>
        <w:numPr>
          <w:ilvl w:val="0"/>
          <w:numId w:val="2"/>
        </w:numPr>
        <w:spacing w:after="40" w:before="40"/>
      </w:pPr>
      <w:r>
        <w:rPr>
          <w:rFonts w:ascii="Arial" w:cs="Arial" w:eastAsia="Arial" w:hAnsi="Arial"/>
          <w:b w:val="false"/>
          <w:bCs w:val="false"/>
          <w:color w:val="334155"/>
          <w:sz w:val="22"/>
          <w:szCs w:val="22"/>
        </w:rPr>
        <w:t xml:space="preserve">Dispute resolution workflow — arbitration for contested not_qualified decisions</w:t>
      </w:r>
    </w:p>
    <w:p>
      <w:pPr>
        <w:pStyle w:val="ListParagraph"/>
        <w:numPr>
          <w:ilvl w:val="0"/>
          <w:numId w:val="2"/>
        </w:numPr>
        <w:spacing w:after="40" w:before="40"/>
      </w:pPr>
      <w:r>
        <w:rPr>
          <w:rFonts w:ascii="Arial" w:cs="Arial" w:eastAsia="Arial" w:hAnsi="Arial"/>
          <w:b w:val="false"/>
          <w:bCs w:val="false"/>
          <w:color w:val="334155"/>
          <w:sz w:val="22"/>
          <w:szCs w:val="22"/>
        </w:rPr>
        <w:t xml:space="preserve">Reviews &amp; ratings — receiving companies rate lead quality after resolution</w:t>
      </w:r>
    </w:p>
    <w:p>
      <w:pPr>
        <w:pStyle w:val="ListParagraph"/>
        <w:numPr>
          <w:ilvl w:val="0"/>
          <w:numId w:val="2"/>
        </w:numPr>
        <w:spacing w:after="40" w:before="40"/>
      </w:pPr>
      <w:r>
        <w:rPr>
          <w:rFonts w:ascii="Arial" w:cs="Arial" w:eastAsia="Arial" w:hAnsi="Arial"/>
          <w:b w:val="false"/>
          <w:bCs w:val="false"/>
          <w:color w:val="334155"/>
          <w:sz w:val="22"/>
          <w:szCs w:val="22"/>
        </w:rPr>
        <w:t xml:space="preserve">Analytics dashboard — CAC comparison, referral network graph visualization</w:t>
      </w:r>
    </w:p>
    <w:p>
      <w:pPr>
        <w:pStyle w:val="ListParagraph"/>
        <w:numPr>
          <w:ilvl w:val="0"/>
          <w:numId w:val="2"/>
        </w:numPr>
        <w:spacing w:after="40" w:before="40"/>
      </w:pPr>
      <w:r>
        <w:rPr>
          <w:rFonts w:ascii="Arial" w:cs="Arial" w:eastAsia="Arial" w:hAnsi="Arial"/>
          <w:b w:val="false"/>
          <w:bCs w:val="false"/>
          <w:color w:val="334155"/>
          <w:sz w:val="22"/>
          <w:szCs w:val="22"/>
        </w:rPr>
        <w:t xml:space="preserve">Multi-region expansion — Las Vegas, Tucson as next markets after Phoenix validation</w:t>
      </w:r>
    </w:p>
    <w:p>
      <w:pPr>
        <w:pStyle w:val="ListParagraph"/>
        <w:numPr>
          <w:ilvl w:val="0"/>
          <w:numId w:val="2"/>
        </w:numPr>
        <w:spacing w:after="40" w:before="40"/>
      </w:pPr>
      <w:r>
        <w:rPr>
          <w:rFonts w:ascii="Arial" w:cs="Arial" w:eastAsia="Arial" w:hAnsi="Arial"/>
          <w:b w:val="false"/>
          <w:bCs w:val="false"/>
          <w:color w:val="334155"/>
          <w:sz w:val="22"/>
          <w:szCs w:val="22"/>
        </w:rPr>
        <w:t xml:space="preserve">Elasticsearch migration — if search volume exceeds PostgreSQL FTS capabilities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D2E" w:val="clear"/>
            <w:tcMar>
              <w:top w:type="dxa" w:w="240"/>
              <w:left w:type="dxa" w:w="360"/>
              <w:bottom w:type="dxa" w:w="240"/>
              <w:right w:type="dxa" w:w="360"/>
            </w:tcMar>
          </w:tcPr>
          <w:p>
            <w:pPr>
              <w:spacing w:after="60" w:before="0"/>
            </w:pPr>
            <w:r>
              <w:rPr>
                <w:rFonts w:ascii="Arial" w:cs="Arial" w:eastAsia="Arial" w:hAnsi="Arial"/>
                <w:b/>
                <w:bCs/>
                <w:color w:val="FFFFFF"/>
                <w:sz w:val="36"/>
                <w:szCs w:val="36"/>
              </w:rPr>
              <w:t xml:space="preserve">12 — Appendix</w:t>
            </w:r>
          </w:p>
          <w:p>
            <w:pPr>
              <w:spacing w:after="0" w:before="0"/>
            </w:pPr>
            <w:r>
              <w:rPr>
                <w:rFonts w:ascii="Arial" w:cs="Arial" w:eastAsia="Arial" w:hAnsi="Arial"/>
                <w:color w:val="A7F3D0"/>
                <w:sz w:val="22"/>
                <w:szCs w:val="22"/>
              </w:rPr>
              <w:t xml:space="preserve">Environment config, dependency list, and compliance notes</w:t>
            </w:r>
          </w:p>
        </w:tc>
      </w:tr>
    </w:tbl>
    <w:p>
      <w:pPr>
        <w:spacing w:before="240"/>
      </w:pPr>
      <w:r>
        <w:t xml:space="preserve"/>
      </w:r>
    </w:p>
    <w:p>
      <w:pPr>
        <w:pStyle w:val="Heading2"/>
        <w:spacing w:after="120" w:before="320"/>
      </w:pPr>
      <w:r>
        <w:rPr>
          <w:rFonts w:ascii="Arial" w:cs="Arial" w:eastAsia="Arial" w:hAnsi="Arial"/>
          <w:b/>
          <w:bCs/>
          <w:color w:val="0F6E56"/>
          <w:sz w:val="28"/>
          <w:szCs w:val="28"/>
        </w:rPr>
        <w:t xml:space="preserve">Environment Configuration</w:t>
      </w:r>
    </w:p>
    <w:p>
      <w:pPr>
        <w:spacing w:after="120" w:before="80"/>
      </w:pPr>
      <w:r>
        <w:rPr>
          <w:rFonts w:ascii="Arial" w:cs="Arial" w:eastAsia="Arial" w:hAnsi="Arial"/>
          <w:color w:val="334155"/>
          <w:sz w:val="22"/>
          <w:szCs w:val="22"/>
        </w:rPr>
        <w:t xml:space="preserve">All secrets are loaded from AWS Secrets Manager at boot. The following environment variables are the only non-secret config stored in ECS task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NODE_ENV</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production | staging | development</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APP_URL</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https://lowleads.com</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API_URL</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https://api.lowleads.com</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AWS_REGION</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us-west-2</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DB_READ_REPLICA_ENABLED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true (analytics route to replica)</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REDIS_CLUSTER_MODE</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false (true at scale milestone)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LOG_LEVEL</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info (debug in staging)</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RATE_LIMIT_ENABLED</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true</w:t>
            </w:r>
          </w:p>
        </w:tc>
      </w:tr>
      <w:tr>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bCs/>
                <w:color w:val="1A2B3C"/>
                <w:sz w:val="20"/>
                <w:szCs w:val="20"/>
              </w:rPr>
              <w:t xml:space="preserve">MFA_REQUIRED_ROLES</w:t>
            </w:r>
          </w:p>
        </w:tc>
        <w:tc>
          <w:tcPr>
            <w:tcW w:type="dxa" w:w="63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company_owner</w:t>
            </w:r>
          </w:p>
        </w:tc>
      </w:tr>
    </w:tbl>
    <w:p>
      <w:pPr>
        <w:spacing w:before="160"/>
      </w:pPr>
      <w:r>
        <w:t xml:space="preserve"/>
      </w:r>
    </w:p>
    <w:p>
      <w:pPr>
        <w:pStyle w:val="Heading2"/>
        <w:spacing w:after="120" w:before="320"/>
      </w:pPr>
      <w:r>
        <w:rPr>
          <w:rFonts w:ascii="Arial" w:cs="Arial" w:eastAsia="Arial" w:hAnsi="Arial"/>
          <w:b/>
          <w:bCs/>
          <w:color w:val="0F6E56"/>
          <w:sz w:val="28"/>
          <w:szCs w:val="28"/>
        </w:rPr>
        <w:t xml:space="preserve">Compliance Notes</w:t>
      </w:r>
    </w:p>
    <w:p>
      <w:pPr>
        <w:pStyle w:val="ListParagraph"/>
        <w:numPr>
          <w:ilvl w:val="0"/>
          <w:numId w:val="2"/>
        </w:numPr>
        <w:spacing w:after="40" w:before="40"/>
      </w:pPr>
      <w:r>
        <w:rPr>
          <w:rFonts w:ascii="Arial" w:cs="Arial" w:eastAsia="Arial" w:hAnsi="Arial"/>
          <w:b w:val="false"/>
          <w:bCs w:val="false"/>
          <w:color w:val="334155"/>
          <w:sz w:val="22"/>
          <w:szCs w:val="22"/>
        </w:rPr>
        <w:t xml:space="preserve">CCPA (California Consumer Privacy Act): customer PII deletion endpoint implemented. Data inventory documented. Privacy policy required pre-launch.</w:t>
      </w:r>
    </w:p>
    <w:p>
      <w:pPr>
        <w:pStyle w:val="ListParagraph"/>
        <w:numPr>
          <w:ilvl w:val="0"/>
          <w:numId w:val="2"/>
        </w:numPr>
        <w:spacing w:after="40" w:before="40"/>
      </w:pPr>
      <w:r>
        <w:rPr>
          <w:rFonts w:ascii="Arial" w:cs="Arial" w:eastAsia="Arial" w:hAnsi="Arial"/>
          <w:b w:val="false"/>
          <w:bCs w:val="false"/>
          <w:color w:val="334155"/>
          <w:sz w:val="22"/>
          <w:szCs w:val="22"/>
        </w:rPr>
        <w:t xml:space="preserve">PCI DSS: Lowleads never stores, processes, or transmits raw card data. All card handling via Stripe Elements (PCI SAQ A compliant).</w:t>
      </w:r>
    </w:p>
    <w:p>
      <w:pPr>
        <w:pStyle w:val="ListParagraph"/>
        <w:numPr>
          <w:ilvl w:val="0"/>
          <w:numId w:val="2"/>
        </w:numPr>
        <w:spacing w:after="40" w:before="40"/>
      </w:pPr>
      <w:r>
        <w:rPr>
          <w:rFonts w:ascii="Arial" w:cs="Arial" w:eastAsia="Arial" w:hAnsi="Arial"/>
          <w:b w:val="false"/>
          <w:bCs w:val="false"/>
          <w:color w:val="334155"/>
          <w:sz w:val="22"/>
          <w:szCs w:val="22"/>
        </w:rPr>
        <w:t xml:space="preserve">SOC 2 Type II (future): architecture is aligned with SOC 2 criteria — audit logging, access controls, encryption, availability monitoring. Formal certification recommended at Series A.</w:t>
      </w:r>
    </w:p>
    <w:p>
      <w:pPr>
        <w:pStyle w:val="ListParagraph"/>
        <w:numPr>
          <w:ilvl w:val="0"/>
          <w:numId w:val="2"/>
        </w:numPr>
        <w:spacing w:after="40" w:before="40"/>
      </w:pPr>
      <w:r>
        <w:rPr>
          <w:rFonts w:ascii="Arial" w:cs="Arial" w:eastAsia="Arial" w:hAnsi="Arial"/>
          <w:b w:val="false"/>
          <w:bCs w:val="false"/>
          <w:color w:val="334155"/>
          <w:sz w:val="22"/>
          <w:szCs w:val="22"/>
        </w:rPr>
        <w:t xml:space="preserve">Arizona state licensing: home service businesses on the platform are responsible for their own licensing compliance. Lowleads terms of service require valid licensing as a condition of account creation.</w:t>
      </w:r>
    </w:p>
    <w:p>
      <w:pPr>
        <w:spacing w:before="160"/>
      </w:pPr>
      <w:r>
        <w:t xml:space="preserve"/>
      </w:r>
    </w:p>
    <w:p>
      <w:pPr>
        <w:pStyle w:val="Heading2"/>
        <w:spacing w:after="120" w:before="320"/>
      </w:pPr>
      <w:r>
        <w:rPr>
          <w:rFonts w:ascii="Arial" w:cs="Arial" w:eastAsia="Arial" w:hAnsi="Arial"/>
          <w:b/>
          <w:bCs/>
          <w:color w:val="0F6E56"/>
          <w:sz w:val="28"/>
          <w:szCs w:val="28"/>
        </w:rPr>
        <w:t xml:space="preserve">Key Dependencies &amp;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Package</w:t>
            </w:r>
          </w:p>
        </w:tc>
        <w:tc>
          <w:tcPr>
            <w:tcW w:type="dxa" w:w="396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Version</w:t>
            </w:r>
          </w:p>
        </w:tc>
        <w:tc>
          <w:tcPr>
            <w:tcW w:type="dxa" w:w="3000"/>
            <w:gridSpan w:val="1"/>
            <w:tcBorders>
              <w:top w:val="single" w:color="E2E8F0" w:sz="1"/>
              <w:left w:val="single" w:color="E2E8F0" w:sz="1"/>
              <w:bottom w:val="single" w:color="E2E8F0" w:sz="1"/>
              <w:right w:val="single" w:color="E2E8F0" w:sz="1"/>
            </w:tcBorders>
            <w:shd w:fill="1A2B3C"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License</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Next.js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14.x</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Fastify</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4.x</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stripe</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14.x</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bullmq</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5.x</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pg (node-postgres)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8.x</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argon2</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0.31.x</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jsonwebtoken</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9.x</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ioredis</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5.x</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@aws-sdk/client-kms</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3.x</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Apache 2.0</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zod</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3.x</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DOMPurify</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3.x</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Apache 2.0 / MPL 2.0</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twilio</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4.x</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MIT</w:t>
            </w:r>
          </w:p>
        </w:tc>
      </w:tr>
      <w:tr>
        <w:tc>
          <w:tcPr>
            <w:tcW w:type="dxa" w:w="24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playwright</w:t>
            </w:r>
          </w:p>
        </w:tc>
        <w:tc>
          <w:tcPr>
            <w:tcW w:type="dxa" w:w="396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1.x (dev)</w:t>
            </w:r>
          </w:p>
        </w:tc>
        <w:tc>
          <w:tcPr>
            <w:tcW w:type="dxa" w:w="3000"/>
            <w:gridSpan w:val="1"/>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Apache 2.0</w:t>
            </w:r>
          </w:p>
        </w:tc>
      </w:tr>
      <w:tr>
        <w:tc>
          <w:tcPr>
            <w:tcW w:type="dxa" w:w="24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k6</w:t>
            </w:r>
          </w:p>
        </w:tc>
        <w:tc>
          <w:tcPr>
            <w:tcW w:type="dxa" w:w="396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CLI tool (dev)</w:t>
            </w:r>
          </w:p>
        </w:tc>
        <w:tc>
          <w:tcPr>
            <w:tcW w:type="dxa" w:w="3000"/>
            <w:gridSpan w:val="1"/>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334155"/>
                <w:sz w:val="20"/>
                <w:szCs w:val="20"/>
              </w:rPr>
              <w:t xml:space="preserve">AGPL 3.0 (test tool only, not bundled)</w:t>
            </w:r>
          </w:p>
        </w:tc>
      </w:tr>
    </w:tbl>
    <w:p>
      <w:pPr>
        <w:spacing w:before="240"/>
      </w:pPr>
      <w:r>
        <w:t xml:space="preserve"/>
      </w:r>
    </w:p>
    <w:p>
      <w:pPr>
        <w:spacing w:after="0" w:before="240"/>
        <w:jc w:val="center"/>
      </w:pPr>
      <w:r>
        <w:rPr>
          <w:rFonts w:ascii="Arial" w:cs="Arial" w:eastAsia="Arial" w:hAnsi="Arial"/>
          <w:i/>
          <w:iCs/>
          <w:color w:val="64748B"/>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color w:val="64748B"/>
              <w:sz w:val="16"/>
              <w:szCs w:val="16"/>
            </w:rPr>
            <w:t xml:space="preserve">Version 1.0  |  April 2026</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b/>
              <w:bCs/>
              <w:color w:val="0F6E56"/>
              <w:sz w:val="18"/>
              <w:szCs w:val="18"/>
            </w:rPr>
            <w:t xml:space="preserve">LOWLEADS — Engineering Specification</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A32D2D"/>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2B3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2026-04-28T04:25:10.630Z</dcterms:created>
  <dcterms:modified xsi:type="dcterms:W3CDTF">2026-04-28T04:25:10.630Z</dcterms:modified>
</cp:coreProperties>
</file>

<file path=docProps/custom.xml><?xml version="1.0" encoding="utf-8"?>
<Properties xmlns="http://schemas.openxmlformats.org/officeDocument/2006/custom-properties" xmlns:vt="http://schemas.openxmlformats.org/officeDocument/2006/docPropsVTypes"/>
</file>