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Refund and Cancellation Policy</w:t>
      </w:r>
    </w:p>
    <w:p>
      <w:r>
        <w:rPr>
          <w:sz w:val="18"/>
        </w:rPr>
        <w:t>Document ID: REF-POL-02</w:t>
      </w:r>
    </w:p>
    <w:p>
      <w:r>
        <w:rPr>
          <w:sz w:val="18"/>
        </w:rPr>
        <w:t>Title: Refund and Cancellation Policy</w:t>
      </w:r>
    </w:p>
    <w:p>
      <w:r>
        <w:rPr>
          <w:sz w:val="18"/>
        </w:rPr>
        <w:t>Version: 3.0</w:t>
      </w:r>
    </w:p>
    <w:p>
      <w:r>
        <w:rPr>
          <w:sz w:val="18"/>
        </w:rPr>
        <w:t>Document Type: POLICY</w:t>
      </w:r>
    </w:p>
    <w:p>
      <w:r>
        <w:rPr>
          <w:sz w:val="18"/>
        </w:rPr>
        <w:t>Department: Billing and Payments</w:t>
      </w:r>
    </w:p>
    <w:p>
      <w:r>
        <w:rPr>
          <w:sz w:val="18"/>
        </w:rPr>
        <w:t>Category: POLICY</w:t>
      </w:r>
    </w:p>
    <w:p>
      <w:r>
        <w:rPr>
          <w:sz w:val="18"/>
        </w:rPr>
        <w:t>Effective Date: 2026-06-01</w:t>
      </w:r>
    </w:p>
    <w:p>
      <w:r>
        <w:rPr>
          <w:sz w:val="18"/>
        </w:rPr>
        <w:t>Document Owner: Head of Billing</w:t>
      </w:r>
    </w:p>
    <w:p>
      <w:pPr>
        <w:pStyle w:val="Heading1"/>
      </w:pPr>
      <w:r>
        <w:t>1 Scope</w:t>
      </w:r>
    </w:p>
    <w:p>
      <w:r>
        <w:t>This policy governs refunds, cancellations and replacement eligibility for all Zenithra orders. It supersedes Refund and Cancellation Policy version 2.2 in its entirety.</w:t>
      </w:r>
    </w:p>
    <w:p>
      <w:pPr>
        <w:pStyle w:val="Heading1"/>
      </w:pPr>
      <w:r>
        <w:t>2 Refund Eligibility Window</w:t>
      </w:r>
    </w:p>
    <w:p>
      <w:r>
        <w:t>A refund may be requested within fourteen calendar days of delivery for general merchandise, and within seven calendar days of delivery for opened consumable accessories.</w:t>
      </w:r>
    </w:p>
    <w:p>
      <w:r>
        <w:t>Large appliances are eligible for refund within ten calendar days of delivery, provided the item has been installed by a Zenithra-authorised engineer and the installation report records a fault.</w:t>
      </w:r>
    </w:p>
    <w:p>
      <w:r>
        <w:t>A refund request received outside the applicable window is not eligible. Agents must not grant an exception to the window. Exceptions require Department Manager approval recorded against the complaint.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Product Category</w:t>
            </w:r>
          </w:p>
        </w:tc>
        <w:tc>
          <w:tcPr>
            <w:tcW w:type="dxa" w:w="2160"/>
          </w:tcPr>
          <w:p>
            <w:r>
              <w:t>Refund Window</w:t>
            </w:r>
          </w:p>
        </w:tc>
        <w:tc>
          <w:tcPr>
            <w:tcW w:type="dxa" w:w="2160"/>
          </w:tcPr>
          <w:p>
            <w:r>
              <w:t>Replacement Window</w:t>
            </w:r>
          </w:p>
        </w:tc>
        <w:tc>
          <w:tcPr>
            <w:tcW w:type="dxa" w:w="2160"/>
          </w:tcPr>
          <w:p>
            <w:r>
              <w:t>Condition Required</w:t>
            </w:r>
          </w:p>
        </w:tc>
      </w:tr>
      <w:tr>
        <w:tc>
          <w:tcPr>
            <w:tcW w:type="dxa" w:w="2160"/>
          </w:tcPr>
          <w:p>
            <w:r>
              <w:t>General merchandise</w:t>
            </w:r>
          </w:p>
        </w:tc>
        <w:tc>
          <w:tcPr>
            <w:tcW w:type="dxa" w:w="2160"/>
          </w:tcPr>
          <w:p>
            <w:r>
              <w:t>14 days</w:t>
            </w:r>
          </w:p>
        </w:tc>
        <w:tc>
          <w:tcPr>
            <w:tcW w:type="dxa" w:w="2160"/>
          </w:tcPr>
          <w:p>
            <w:r>
              <w:t>14 days</w:t>
            </w:r>
          </w:p>
        </w:tc>
        <w:tc>
          <w:tcPr>
            <w:tcW w:type="dxa" w:w="2160"/>
          </w:tcPr>
          <w:p>
            <w:r>
              <w:t>Unused and repackaged</w:t>
            </w:r>
          </w:p>
        </w:tc>
      </w:tr>
      <w:tr>
        <w:tc>
          <w:tcPr>
            <w:tcW w:type="dxa" w:w="2160"/>
          </w:tcPr>
          <w:p>
            <w:r>
              <w:t>Opened consumables</w:t>
            </w:r>
          </w:p>
        </w:tc>
        <w:tc>
          <w:tcPr>
            <w:tcW w:type="dxa" w:w="2160"/>
          </w:tcPr>
          <w:p>
            <w:r>
              <w:t>7 days</w:t>
            </w:r>
          </w:p>
        </w:tc>
        <w:tc>
          <w:tcPr>
            <w:tcW w:type="dxa" w:w="2160"/>
          </w:tcPr>
          <w:p>
            <w:r>
              <w:t>Not eligible</w:t>
            </w:r>
          </w:p>
        </w:tc>
        <w:tc>
          <w:tcPr>
            <w:tcW w:type="dxa" w:w="2160"/>
          </w:tcPr>
          <w:p>
            <w:r>
              <w:t>Fault demonstrated</w:t>
            </w:r>
          </w:p>
        </w:tc>
      </w:tr>
      <w:tr>
        <w:tc>
          <w:tcPr>
            <w:tcW w:type="dxa" w:w="2160"/>
          </w:tcPr>
          <w:p>
            <w:r>
              <w:t>Large appliances</w:t>
            </w:r>
          </w:p>
        </w:tc>
        <w:tc>
          <w:tcPr>
            <w:tcW w:type="dxa" w:w="2160"/>
          </w:tcPr>
          <w:p>
            <w:r>
              <w:t>10 days</w:t>
            </w:r>
          </w:p>
        </w:tc>
        <w:tc>
          <w:tcPr>
            <w:tcW w:type="dxa" w:w="2160"/>
          </w:tcPr>
          <w:p>
            <w:r>
              <w:t>30 days</w:t>
            </w:r>
          </w:p>
        </w:tc>
        <w:tc>
          <w:tcPr>
            <w:tcW w:type="dxa" w:w="2160"/>
          </w:tcPr>
          <w:p>
            <w:r>
              <w:t>Engineer fault report</w:t>
            </w:r>
          </w:p>
        </w:tc>
      </w:tr>
      <w:tr>
        <w:tc>
          <w:tcPr>
            <w:tcW w:type="dxa" w:w="2160"/>
          </w:tcPr>
          <w:p>
            <w:r>
              <w:t>Software and licences</w:t>
            </w:r>
          </w:p>
        </w:tc>
        <w:tc>
          <w:tcPr>
            <w:tcW w:type="dxa" w:w="2160"/>
          </w:tcPr>
          <w:p>
            <w:r>
              <w:t>48 hours</w:t>
            </w:r>
          </w:p>
        </w:tc>
        <w:tc>
          <w:tcPr>
            <w:tcW w:type="dxa" w:w="2160"/>
          </w:tcPr>
          <w:p>
            <w:r>
              <w:t>Not eligible</w:t>
            </w:r>
          </w:p>
        </w:tc>
        <w:tc>
          <w:tcPr>
            <w:tcW w:type="dxa" w:w="2160"/>
          </w:tcPr>
          <w:p>
            <w:r>
              <w:t>Licence unactivated</w:t>
            </w:r>
          </w:p>
        </w:tc>
      </w:tr>
    </w:tbl>
    <w:p>
      <w:pPr>
        <w:pStyle w:val="Heading1"/>
      </w:pPr>
      <w:r>
        <w:t>3 Refund Processing Times</w:t>
      </w:r>
    </w:p>
    <w:p>
      <w:r>
        <w:t>Approved refunds are returned to the original payment method. Card refunds are credited within five to seven business days of approval. Bank transfer refunds are credited within seven to ten business days.</w:t>
      </w:r>
    </w:p>
    <w:p>
      <w:r>
        <w:t>Agents may quote these ranges. Agents must not quote a specific calendar date for a refund credit, because settlement timing is controlled by the customer's issuing bank and not by Zenithra.</w:t>
      </w:r>
    </w:p>
    <w:p>
      <w:pPr>
        <w:pStyle w:val="Heading1"/>
      </w:pPr>
      <w:r>
        <w:t>4 Non-Refundable Items</w:t>
      </w:r>
    </w:p>
    <w:p>
      <w:r>
        <w:t>Gift cards, digital top-ups, activated software licences, and items returned without their original serial-numbered packaging are not refundable.</w:t>
      </w:r>
    </w:p>
    <w:p>
      <w:pPr>
        <w:pStyle w:val="Heading1"/>
      </w:pPr>
      <w:r>
        <w:t>5 Replacement Eligibility</w:t>
      </w:r>
    </w:p>
    <w:p>
      <w:r>
        <w:t>A replacement is available where the item is faulty on arrival, where an incorrect item was despatched, or where a delivery investigation has confirmed non-delivery under Delivery and Shipment Policy section 4.</w:t>
      </w:r>
    </w:p>
    <w:p>
      <w:r>
        <w:t>A second replacement for the same order line requires Supervisor Review. A third requires Department Manager approval.</w:t>
      </w:r>
    </w:p>
    <w:p>
      <w:pPr>
        <w:pStyle w:val="Heading1"/>
      </w:pPr>
      <w:r>
        <w:t>6 Compensation and Goodwill</w:t>
      </w:r>
    </w:p>
    <w:p>
      <w:r>
        <w:t>Goodwill credit is discretionary and capped at five hundred rupees or the local currency equivalent per complaint. Any goodwill above this cap requires Department Manager approval before it is offered to the customer.</w:t>
      </w:r>
    </w:p>
    <w:p>
      <w:r>
        <w:t>Agents must not describe goodwill credit as compensation, and must not offer it where a refund has already been approved for the same order line.</w:t>
      </w:r>
    </w:p>
    <w:p>
      <w:pPr>
        <w:pStyle w:val="Heading1"/>
      </w:pPr>
      <w:r>
        <w:t>7 Duplicate and Incorrect Charges</w:t>
      </w:r>
    </w:p>
    <w:p>
      <w:r>
        <w:t>A confirmed duplicate charge is refunded in full without reference to the refund window in section 2, because the charge itself was made in error. Confirmation requires a matching transaction pair in the payment ledger.</w:t>
      </w:r>
    </w:p>
    <w:p>
      <w:r>
        <w:t>Where a duplicate charge is reported but not yet confirmed, the agent must open a billing investigation and must not confirm the refund to the customer until the ledger check completes.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REF-POL-02 v3.0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Zenithra Commerce — Internal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