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Refund Policy (Legacy)</w:t>
      </w:r>
    </w:p>
    <w:p>
      <w:r>
        <w:rPr>
          <w:sz w:val="18"/>
        </w:rPr>
        <w:t>Document ID: DOC-002</w:t>
      </w:r>
    </w:p>
    <w:p>
      <w:r>
        <w:rPr>
          <w:sz w:val="18"/>
        </w:rPr>
        <w:t>Title: Customer Refund Policy (Legacy)</w:t>
      </w:r>
    </w:p>
    <w:p>
      <w:r>
        <w:rPr>
          <w:sz w:val="18"/>
        </w:rPr>
        <w:t>Version: 1.0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Refund Policy</w:t>
      </w:r>
    </w:p>
    <w:p>
      <w:r>
        <w:rPr>
          <w:sz w:val="18"/>
        </w:rPr>
        <w:t>Effective Date: 2023-01-01</w:t>
      </w:r>
    </w:p>
    <w:p>
      <w:r>
        <w:rPr>
          <w:sz w:val="18"/>
        </w:rPr>
        <w:t>Expiry Date: 2025-06-30</w:t>
      </w:r>
    </w:p>
    <w:p>
      <w:pPr>
        <w:pStyle w:val="Heading1"/>
      </w:pPr>
      <w:r>
        <w:t>1 Scope and Eligibility Window</w:t>
      </w:r>
    </w:p>
    <w:p>
      <w:r>
        <w:t>This historical policy applies to all courier shipments booked prior to July 2025. Refund requests were strictly required to be submitted within three (3) calendar days of delivery confirmation.</w:t>
      </w:r>
    </w:p>
    <w:p>
      <w:pPr>
        <w:pStyle w:val="Heading1"/>
      </w:pPr>
      <w:r>
        <w:t>2 Settlement Channel and Timeframe</w:t>
      </w:r>
    </w:p>
    <w:p>
      <w:r>
        <w:t>All approved legacy claims were reimbursed within ten to fourteen (10-14) banking days exclusively via cross-cheque or physical voucher redeemable at designated Karachi and Lahore hub counters.</w:t>
      </w:r>
    </w:p>
    <w:p>
      <w:pPr>
        <w:pStyle w:val="Heading1"/>
      </w:pPr>
      <w:r>
        <w:t>3 Deductions and Handling Charges</w:t>
      </w:r>
    </w:p>
    <w:p>
      <w:r>
        <w:t>A mandatory administrative restocking deduction of 15% was applied to all processed customer refunds regardless of shipment destination or customer account tier.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DOC-002 v1.0 - SUPERSEDED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