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Level Agreement (SLA) Matrix and Response Rules</w:t>
      </w:r>
    </w:p>
    <w:p>
      <w:r>
        <w:rPr>
          <w:sz w:val="18"/>
        </w:rPr>
        <w:t>Document ID: DOC-018</w:t>
      </w:r>
    </w:p>
    <w:p>
      <w:r>
        <w:rPr>
          <w:sz w:val="18"/>
        </w:rPr>
        <w:t>Title: Service Level Agreement (SLA) Matrix and Response Rules</w:t>
      </w:r>
    </w:p>
    <w:p>
      <w:r>
        <w:rPr>
          <w:sz w:val="18"/>
        </w:rPr>
        <w:t>Version: 2.0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Service-Level Rules</w:t>
      </w:r>
    </w:p>
    <w:p>
      <w:r>
        <w:rPr>
          <w:sz w:val="18"/>
        </w:rPr>
        <w:t>Effective Date: 2024-10-01</w:t>
      </w:r>
    </w:p>
    <w:p>
      <w:pPr>
        <w:pStyle w:val="Heading1"/>
      </w:pPr>
      <w:r>
        <w:t>1 Priority Classification and Target SLAs</w:t>
      </w:r>
    </w:p>
    <w:p>
      <w:r>
        <w:t>P0 (Critical) incidents require response within 1 hour and resolution within 8-12 hours. P1 (High) requires response in 2 hours and resolution in 24 hours.</w:t>
      </w:r>
    </w:p>
    <w:p>
      <w:pPr>
        <w:pStyle w:val="Heading1"/>
      </w:pPr>
      <w:r>
        <w:t>2 Standard Priority SLAs</w:t>
      </w:r>
    </w:p>
    <w:p>
      <w:r>
        <w:t>P2 (Medium) incidents require response within 4 hours and resolution within 48 hours. P3 (Low) requires response within 12 hours and resolution within 96 hours.</w:t>
      </w:r>
    </w:p>
    <w:p>
      <w:pPr>
        <w:pStyle w:val="Heading1"/>
      </w:pPr>
      <w:r>
        <w:t>3 SLA Pause Conditions</w:t>
      </w:r>
    </w:p>
    <w:p>
      <w:r>
        <w:t>SLA timers pause when a ticket status is set to 'Awaiting Customer Information' or during officially gazetted public holidays.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DOC-018 v2.0 -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