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Cash-on-Delivery Handling Policy (Legacy)</w:t>
      </w:r>
    </w:p>
    <w:p>
      <w:r>
        <w:rPr>
          <w:sz w:val="18"/>
        </w:rPr>
        <w:t>Document ID: DOC-006</w:t>
      </w:r>
    </w:p>
    <w:p>
      <w:r>
        <w:rPr>
          <w:sz w:val="18"/>
        </w:rPr>
        <w:t>Title: Cash-on-Delivery Handling Policy (Legacy)</w:t>
      </w:r>
    </w:p>
    <w:p>
      <w:r>
        <w:rPr>
          <w:sz w:val="18"/>
        </w:rPr>
        <w:t>Version: 1.0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Other</w:t>
      </w:r>
    </w:p>
    <w:p>
      <w:r>
        <w:rPr>
          <w:sz w:val="18"/>
        </w:rPr>
        <w:t>Effective Date: 2023-01-01</w:t>
      </w:r>
    </w:p>
    <w:p>
      <w:r>
        <w:rPr>
          <w:sz w:val="18"/>
        </w:rPr>
        <w:t>Expiry Date: 2025-01-15</w:t>
      </w:r>
    </w:p>
    <w:p>
      <w:pPr>
        <w:pStyle w:val="Heading1"/>
      </w:pPr>
      <w:r>
        <w:t>1 Legacy COD Limits</w:t>
      </w:r>
    </w:p>
    <w:p>
      <w:r>
        <w:t>The maximum cash collection per shipment was restricted to PKR 50,000. Bookings above this threshold were canceled at the origin booking counter.</w:t>
      </w:r>
    </w:p>
    <w:p>
      <w:pPr>
        <w:pStyle w:val="Heading1"/>
      </w:pPr>
      <w:r>
        <w:t>2 Bi-Monthly Remittance Cycle</w:t>
      </w:r>
    </w:p>
    <w:p>
      <w:r>
        <w:t>Merchant COD settlements were executed bi-monthly on the 1st and 15th of each calendar month via physical cheque issuance.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DOC-006 v1.0 - SUPERSEDED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