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Lost and Damaged Shipment Claims Policy (Legacy)</w:t>
      </w:r>
    </w:p>
    <w:p>
      <w:r>
        <w:rPr>
          <w:sz w:val="18"/>
        </w:rPr>
        <w:t>Document ID: DOC-008</w:t>
      </w:r>
    </w:p>
    <w:p>
      <w:r>
        <w:rPr>
          <w:sz w:val="18"/>
        </w:rPr>
        <w:t>Title: Lost and Damaged Shipment Claims Policy (Legacy)</w:t>
      </w:r>
    </w:p>
    <w:p>
      <w:r>
        <w:rPr>
          <w:sz w:val="18"/>
        </w:rPr>
        <w:t>Version: 1.0</w:t>
      </w:r>
    </w:p>
    <w:p>
      <w:r>
        <w:rPr>
          <w:sz w:val="18"/>
        </w:rPr>
        <w:t>Document Type: POLICY</w:t>
      </w:r>
    </w:p>
    <w:p>
      <w:r>
        <w:rPr>
          <w:sz w:val="18"/>
        </w:rPr>
        <w:t>Category: Warranty Policy</w:t>
      </w:r>
    </w:p>
    <w:p>
      <w:r>
        <w:rPr>
          <w:sz w:val="18"/>
        </w:rPr>
        <w:t>Effective Date: 2023-01-01</w:t>
      </w:r>
    </w:p>
    <w:p>
      <w:r>
        <w:rPr>
          <w:sz w:val="18"/>
        </w:rPr>
        <w:t>Expiry Date: 2024-08-31</w:t>
      </w:r>
    </w:p>
    <w:p>
      <w:pPr>
        <w:pStyle w:val="Heading1"/>
      </w:pPr>
      <w:r>
        <w:t>1 Restricted Filing Window</w:t>
      </w:r>
    </w:p>
    <w:p>
      <w:r>
        <w:t>Legacy claims were strictly required within five (5) calendar days from parcel dispatch date. Any delay resulted in unconditional claim forfeiture.</w:t>
      </w:r>
    </w:p>
    <w:p>
      <w:pPr>
        <w:pStyle w:val="Heading1"/>
      </w:pPr>
      <w:r>
        <w:t>2 Legacy Liability Cap</w:t>
      </w:r>
    </w:p>
    <w:p>
      <w:r>
        <w:t>Maximum non-insured shipment compensation was strictly limited to PKR 5,000 regardless of the actual market value of the cargo lost in transit.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DOC-008 v1.0 - SUPERSEDED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RaftarXpress Logistics (Pvt) Ltd - Internal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