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Customs and Inter-Provincial Documentation SOP</w:t>
      </w:r>
    </w:p>
    <w:p>
      <w:r>
        <w:rPr>
          <w:sz w:val="18"/>
        </w:rPr>
        <w:t>Document ID: DOC-024</w:t>
      </w:r>
    </w:p>
    <w:p>
      <w:r>
        <w:rPr>
          <w:sz w:val="18"/>
        </w:rPr>
        <w:t>Title: Customs and Inter-Provincial Documentation SOP</w:t>
      </w:r>
    </w:p>
    <w:p>
      <w:r>
        <w:rPr>
          <w:sz w:val="18"/>
        </w:rPr>
        <w:t>Version: 1.0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Other</w:t>
      </w:r>
    </w:p>
    <w:p>
      <w:r>
        <w:rPr>
          <w:sz w:val="18"/>
        </w:rPr>
        <w:t>Effective Date: 2024-03-15</w:t>
      </w:r>
    </w:p>
    <w:p>
      <w:pPr>
        <w:pStyle w:val="Heading1"/>
      </w:pPr>
      <w:r>
        <w:t>1 Inter-Provincial Transit Documentation</w:t>
      </w:r>
    </w:p>
    <w:p>
      <w:r>
        <w:t>Freight moving between Sindh, Punjab, and federal capital territories requires a valid provincial e-way bill, commercial manifest, and sales tax invoice attached to the outer pouch.</w:t>
      </w:r>
    </w:p>
    <w:p>
      <w:pPr>
        <w:pStyle w:val="Heading1"/>
      </w:pPr>
      <w:r>
        <w:t>2 Customs Impoundment and Hold Procedure</w:t>
      </w:r>
    </w:p>
    <w:p>
      <w:r>
        <w:t>If a shipment is held at customs check-posts, Compliance &amp; Legal (DEPT-07) must obtain clearance documents from the shipper within 48 hours to avoid regulatory confiscation.</w:t>
      </w:r>
    </w:p>
    <w:p>
      <w:pPr>
        <w:pStyle w:val="Heading1"/>
      </w:pPr>
      <w:r>
        <w:t>3 Document Archival Protocol</w:t>
      </w:r>
    </w:p>
    <w:p>
      <w:r>
        <w:t>Physical copies of bonded freight documentation must be scanned and archived in the SupportNova compliance vault within 24 hours of inter-city dispatch.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DOC-024 v1.0 -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