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 Corporate Sustainability Goals</w:t>
      </w:r>
    </w:p>
    <w:p>
      <w:pPr>
        <w:pStyle w:val="Heading1"/>
      </w:pPr>
      <w:r>
        <w:t>Section 1: Introduction</w:t>
      </w:r>
    </w:p>
    <w:p>
      <w:r>
        <w:t>This document outlines Acme Corporation's 2025 sustainability objectives, with a particular focus on Scope 3 emissions and supplier engagement. The targets defined herein serve as the official thresholds for supplier carbon footprint audits, supplier scorecarding, and associated sourcing decisions.</w:t>
      </w:r>
    </w:p>
    <w:p>
      <w:pPr>
        <w:pStyle w:val="Heading1"/>
      </w:pPr>
      <w:r>
        <w:t>Section 2: CO2 Intensity Targets</w:t>
      </w:r>
    </w:p>
    <w:p>
      <w:r>
        <w:t>2.1. Normalization by Revenue: As part of our Scope 3 emissions reduction strategy, all Tier 1 and Tier 2 suppliers are required to maintain a CO₂ intensity, normalized by revenue, below 0.15 tCO₂e (tonnes of CO₂ equivalent) per $1,000 USD revenue.</w:t>
      </w:r>
    </w:p>
    <w:p>
      <w:r>
        <w:t>2.2. Normalization by Unit: For high-velocity product categories (Grocery, Consumables), suppliers must also adhere to a unit-based intensity metric. The target for 2025 is no more than 0.08 tCO₂e per 1,000 units shipped.</w:t>
      </w:r>
    </w:p>
    <w:p>
      <w:r>
        <w:t>2.3. Compliance: Suppliers exceeding these thresholds in any two consecutive quarters will be flagged for mandatory review and substitution analysis.</w:t>
      </w:r>
    </w:p>
    <w:p>
      <w:r>
        <w:t>These thresholds are the official benchmark against which CO₂ intensity performance is evaluated. All automated Supplier Carbon Footprint Audits must use these values when determining whether a supplier is in or out of compliance.</w:t>
      </w:r>
    </w:p>
    <w:p>
      <w:pPr>
        <w:pStyle w:val="Heading1"/>
      </w:pPr>
      <w:r>
        <w:t>Section 3: Compliance Timing and Reporting</w:t>
      </w:r>
    </w:p>
    <w:p>
      <w:r>
        <w:t>Suppliers are expected to submit updated CO₂ intensity data on a quarterly basis. Data submissions are due within 30 days of quarter-end and must align with Acme's standard carbon accounting methodology and reporting templates.</w:t>
      </w:r>
    </w:p>
    <w:p>
      <w:r>
        <w:t>The Sustainability and Strategic Sourcing teams will review supplier performance against the thresholds specified in Section 2. Suppliers that exceed the revenue- normalized or unit-normalized CO₂ intensity thresholds for two consecutive quarters will enter a remediation track, which may include corrective action plans, sourcing shifts, or substitution analysis.</w:t>
      </w:r>
    </w:p>
    <w:p>
      <w:r>
        <w:t>Summary compliance metrics and exception lists (including suppliers flagged for mandatory review) will be reported to the Executive Sustainability Committee on a semi-annual basis.</w:t>
      </w:r>
    </w:p>
    <w:p>
      <w:pPr>
        <w:pStyle w:val="Heading1"/>
      </w:pPr>
      <w:r>
        <w:t>Appendix: Definitions</w:t>
      </w:r>
    </w:p>
    <w:p>
      <w:r>
        <w:t>CO₂ Intensity (Revenue-Normalized): Total Scope 3 greenhouse gas emissions, expressed in tonnes of CO₂ equivalent (tCO₂e), divided by supplier net revenue in thousands of U.S. dollars ($1,000 USD).</w:t>
      </w:r>
    </w:p>
    <w:p>
      <w:r>
        <w:t>CO₂ Intensity (Unit-Normalized): Total Scope 3 greenhouse gas emissions, expressed in tonnes of CO₂ equivalent (tCO₂e), divided by the number of units shipped, expressed in thousands of units (1,000 units).</w:t>
      </w:r>
    </w:p>
    <w:p>
      <w:r>
        <w:t>High-Velocity Product Categories: Product categories characterized by high unit turnover and frequent replenishment, including but not limited to Grocery and Consumables as defined by Acme's merchandising taxonomy.</w:t>
      </w:r>
    </w:p>
    <w:p>
      <w:r>
        <w:t>Tier 1 Supplier: A supplier that sells goods or services directly to Acme Corporation. Tier 2 Supplier: A supplier that sells goods or services to Acme's Tier 1 suppliers and is indirectly part of Acme's upstream value chain.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