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before="200" w:line="240" w:lineRule="auto"/>
        <w:jc w:val="center"/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</w:rPr>
      </w:pPr>
      <w:r w:rsidDel="00000000" w:rsidR="00000000" w:rsidRPr="00000000"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  <w:rtl w:val="0"/>
        </w:rPr>
        <w:t xml:space="preserve">The Bureau 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-2387599</wp:posOffset>
                </wp:positionH>
                <wp:positionV relativeFrom="paragraph">
                  <wp:posOffset>-457199</wp:posOffset>
                </wp:positionV>
                <wp:extent cx="9267825" cy="230028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359720" y="2655720"/>
                          <a:ext cx="7972560" cy="2248560"/>
                        </a:xfrm>
                        <a:prstGeom prst="rect">
                          <a:avLst/>
                        </a:prstGeom>
                        <a:solidFill>
                          <a:srgbClr val="25242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-2387599</wp:posOffset>
                </wp:positionH>
                <wp:positionV relativeFrom="paragraph">
                  <wp:posOffset>-457199</wp:posOffset>
                </wp:positionV>
                <wp:extent cx="9267825" cy="2300288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67825" cy="23002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-700404</wp:posOffset>
            </wp:positionH>
            <wp:positionV relativeFrom="paragraph">
              <wp:posOffset>-266064</wp:posOffset>
            </wp:positionV>
            <wp:extent cx="1971675" cy="1790065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026" r="23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90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</w:rPr>
      </w:pPr>
      <w:r w:rsidDel="00000000" w:rsidR="00000000" w:rsidRPr="00000000"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  <w:rtl w:val="0"/>
        </w:rPr>
        <w:t xml:space="preserve">Cyber Consulting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4">
      <w:pPr>
        <w:jc w:val="center"/>
        <w:rPr>
          <w:rFonts w:ascii="EB Garamond" w:cs="EB Garamond" w:eastAsia="EB Garamond" w:hAnsi="EB Garamond"/>
          <w:b w:val="1"/>
          <w:i w:val="1"/>
          <w:color w:val="b85c00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color w:val="b85c00"/>
          <w:sz w:val="22"/>
          <w:szCs w:val="22"/>
          <w:rtl w:val="0"/>
        </w:rPr>
        <w:t xml:space="preserve">“In tenebras leviter ingredimur”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Executive Summary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14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Detailed statement on the purpose and scope of the report.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14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Findings:</w:t>
      </w:r>
      <w:r w:rsidDel="00000000" w:rsidR="00000000" w:rsidRPr="00000000">
        <w:rPr>
          <w:rtl w:val="0"/>
        </w:rPr>
        <w:t xml:space="preserve"> Summary of major threats, including potential impact.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14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Recommendations:</w:t>
      </w:r>
      <w:r w:rsidDel="00000000" w:rsidR="00000000" w:rsidRPr="00000000">
        <w:rPr>
          <w:rtl w:val="0"/>
        </w:rPr>
        <w:t xml:space="preserve"> Strategic recommendations for risk mitigation.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b85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Threat Overview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Threat Landscape:</w:t>
      </w:r>
      <w:r w:rsidDel="00000000" w:rsidR="00000000" w:rsidRPr="00000000">
        <w:rPr>
          <w:rtl w:val="0"/>
        </w:rPr>
        <w:t xml:space="preserve"> In-depth analysis of the current threat environment relevant to the organization.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Threat Actors:</w:t>
      </w:r>
      <w:r w:rsidDel="00000000" w:rsidR="00000000" w:rsidRPr="00000000">
        <w:rPr>
          <w:rtl w:val="0"/>
        </w:rPr>
        <w:t xml:space="preserve"> Comprehensive profiles of identified threat actors, including motives, TTPs, and history.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Threat Trends:</w:t>
      </w:r>
      <w:r w:rsidDel="00000000" w:rsidR="00000000" w:rsidRPr="00000000">
        <w:rPr>
          <w:rtl w:val="0"/>
        </w:rPr>
        <w:t xml:space="preserve"> Analysis of emerging trends and patterns in cyber threats.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0"/>
        </w:tabs>
        <w:spacing w:after="14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spacing w:after="0" w:before="1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4"/>
          <w:szCs w:val="1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Detailed Threat Analysis</w:t>
      </w:r>
    </w:p>
    <w:p w:rsidR="00000000" w:rsidDel="00000000" w:rsidP="00000000" w:rsidRDefault="00000000" w:rsidRPr="00000000" w14:paraId="00000015">
      <w:pPr>
        <w:tabs>
          <w:tab w:val="left" w:leader="none" w:pos="0"/>
        </w:tabs>
        <w:spacing w:after="24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tabs>
          <w:tab w:val="left" w:leader="none" w:pos="0"/>
        </w:tabs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Name/Alias: Identification of threat actor or group.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tabs>
          <w:tab w:val="left" w:leader="none" w:pos="0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Motivation: Analysis of the actor's motivations.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tabs>
          <w:tab w:val="left" w:leader="none" w:pos="0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Capabilities: Tools, techniques, and procedures (TTPs) used.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tabs>
          <w:tab w:val="left" w:leader="none" w:pos="0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History: Previous activities or incidents involving the actor.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left="709" w:right="0" w:hanging="283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spacing w:after="0" w:before="0" w:line="240" w:lineRule="auto"/>
        <w:ind w:left="0" w:right="0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Impact assessment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Business Impact:</w:t>
      </w:r>
      <w:r w:rsidDel="00000000" w:rsidR="00000000" w:rsidRPr="00000000">
        <w:rPr>
          <w:rtl w:val="0"/>
        </w:rPr>
        <w:t xml:space="preserve"> Detailed assessment of the potential or actual impact on business operations.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Financial Impact:</w:t>
      </w:r>
      <w:r w:rsidDel="00000000" w:rsidR="00000000" w:rsidRPr="00000000">
        <w:rPr>
          <w:rtl w:val="0"/>
        </w:rPr>
        <w:t xml:space="preserve"> Comprehensive estimate of financial losses or risks.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Regulatory Impact:</w:t>
      </w:r>
      <w:r w:rsidDel="00000000" w:rsidR="00000000" w:rsidRPr="00000000">
        <w:rPr>
          <w:rtl w:val="0"/>
        </w:rPr>
        <w:t xml:space="preserve"> Analysis of potential legal or regulatory consequences.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tabs>
          <w:tab w:val="left" w:leader="none" w:pos="0"/>
        </w:tabs>
        <w:spacing w:after="140" w:before="0" w:lineRule="auto"/>
        <w:ind w:left="720" w:hanging="283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hd w:fill="e48312" w:val="clea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Recommendations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Mitigation Strategies:</w:t>
      </w:r>
      <w:r w:rsidDel="00000000" w:rsidR="00000000" w:rsidRPr="00000000">
        <w:rPr>
          <w:rtl w:val="0"/>
        </w:rPr>
        <w:t xml:space="preserve"> Detailed, specific actions to mitigate identified threats.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Security Improvements:</w:t>
      </w:r>
      <w:r w:rsidDel="00000000" w:rsidR="00000000" w:rsidRPr="00000000">
        <w:rPr>
          <w:rtl w:val="0"/>
        </w:rPr>
        <w:t xml:space="preserve"> Long-term recommendations for improving security posture.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Training &amp; Awareness:</w:t>
      </w:r>
      <w:r w:rsidDel="00000000" w:rsidR="00000000" w:rsidRPr="00000000">
        <w:rPr>
          <w:rtl w:val="0"/>
        </w:rPr>
        <w:t xml:space="preserve"> Recommendations for staff training and awareness programs.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Technology Upgrades:</w:t>
      </w:r>
      <w:r w:rsidDel="00000000" w:rsidR="00000000" w:rsidRPr="00000000">
        <w:rPr>
          <w:rtl w:val="0"/>
        </w:rPr>
        <w:t xml:space="preserve"> Suggestions for technology or software upgrade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left="720" w:right="0" w:hanging="283"/>
        <w:jc w:val="left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Report contributors &amp; sources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720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Author(s):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Names, titles, and roles of those who prepared the report.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720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Reviewers: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Names, titles, and roles of those who reviewed the report.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left="720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Acknowledgements: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Any </w:t>
      </w:r>
      <w:r w:rsidDel="00000000" w:rsidR="00000000" w:rsidRPr="00000000">
        <w:rPr>
          <w:rtl w:val="0"/>
        </w:rPr>
        <w:t xml:space="preserve">sources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or supporting teams.</w:t>
      </w:r>
    </w:p>
    <w:sectPr>
      <w:footerReference r:id="rId8" w:type="default"/>
      <w:pgSz w:h="15840" w:w="12240" w:orient="portrait"/>
      <w:pgMar w:bottom="921" w:top="720" w:left="1440" w:right="1440" w:header="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MathJax_Typewriter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keepNext w:val="0"/>
      <w:keepLines w:val="0"/>
      <w:widowControl w:val="1"/>
      <w:spacing w:after="0" w:before="200" w:line="240" w:lineRule="auto"/>
      <w:ind w:left="-144" w:right="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"/>
      <w:lvlJc w:val="left"/>
      <w:pPr>
        <w:ind w:left="709" w:hanging="282.9999999999999"/>
      </w:pPr>
      <w:rPr/>
    </w:lvl>
    <w:lvl w:ilvl="1">
      <w:start w:val="1"/>
      <w:numFmt w:val="bullet"/>
      <w:lvlText w:val=""/>
      <w:lvlJc w:val="left"/>
      <w:pPr>
        <w:ind w:left="1418" w:hanging="282.9999999999998"/>
      </w:pPr>
      <w:rPr/>
    </w:lvl>
    <w:lvl w:ilvl="2">
      <w:start w:val="1"/>
      <w:numFmt w:val="bullet"/>
      <w:lvlText w:val=""/>
      <w:lvlJc w:val="left"/>
      <w:pPr>
        <w:ind w:left="2127" w:hanging="283.0000000000002"/>
      </w:pPr>
      <w:rPr/>
    </w:lvl>
    <w:lvl w:ilvl="3">
      <w:start w:val="1"/>
      <w:numFmt w:val="bullet"/>
      <w:lvlText w:val=""/>
      <w:lvlJc w:val="left"/>
      <w:pPr>
        <w:ind w:left="2836" w:hanging="283"/>
      </w:pPr>
      <w:rPr/>
    </w:lvl>
    <w:lvl w:ilvl="4">
      <w:start w:val="1"/>
      <w:numFmt w:val="bullet"/>
      <w:lvlText w:val=""/>
      <w:lvlJc w:val="left"/>
      <w:pPr>
        <w:ind w:left="3545" w:hanging="283"/>
      </w:pPr>
      <w:rPr/>
    </w:lvl>
    <w:lvl w:ilvl="5">
      <w:start w:val="1"/>
      <w:numFmt w:val="bullet"/>
      <w:lvlText w:val=""/>
      <w:lvlJc w:val="left"/>
      <w:pPr>
        <w:ind w:left="4254" w:hanging="283.00000000000045"/>
      </w:pPr>
      <w:rPr/>
    </w:lvl>
    <w:lvl w:ilvl="6">
      <w:start w:val="1"/>
      <w:numFmt w:val="bullet"/>
      <w:lvlText w:val=""/>
      <w:lvlJc w:val="left"/>
      <w:pPr>
        <w:ind w:left="4963" w:hanging="283"/>
      </w:pPr>
      <w:rPr/>
    </w:lvl>
    <w:lvl w:ilvl="7">
      <w:start w:val="1"/>
      <w:numFmt w:val="bullet"/>
      <w:lvlText w:val=""/>
      <w:lvlJc w:val="left"/>
      <w:pPr>
        <w:ind w:left="5672" w:hanging="282.9999999999991"/>
      </w:pPr>
      <w:rPr/>
    </w:lvl>
    <w:lvl w:ilvl="8">
      <w:start w:val="1"/>
      <w:numFmt w:val="bullet"/>
      <w:lvlText w:val=""/>
      <w:lvlJc w:val="left"/>
      <w:pPr>
        <w:ind w:left="6381" w:hanging="282.9999999999991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ind w:left="709" w:hanging="282.9999999999999"/>
      </w:pPr>
      <w:rPr/>
    </w:lvl>
    <w:lvl w:ilvl="1">
      <w:start w:val="1"/>
      <w:numFmt w:val="bullet"/>
      <w:lvlText w:val=""/>
      <w:lvlJc w:val="left"/>
      <w:pPr>
        <w:ind w:left="1418" w:hanging="282.9999999999998"/>
      </w:pPr>
      <w:rPr/>
    </w:lvl>
    <w:lvl w:ilvl="2">
      <w:start w:val="1"/>
      <w:numFmt w:val="bullet"/>
      <w:lvlText w:val=""/>
      <w:lvlJc w:val="left"/>
      <w:pPr>
        <w:ind w:left="2127" w:hanging="283.0000000000002"/>
      </w:pPr>
      <w:rPr/>
    </w:lvl>
    <w:lvl w:ilvl="3">
      <w:start w:val="1"/>
      <w:numFmt w:val="bullet"/>
      <w:lvlText w:val=""/>
      <w:lvlJc w:val="left"/>
      <w:pPr>
        <w:ind w:left="2836" w:hanging="283"/>
      </w:pPr>
      <w:rPr/>
    </w:lvl>
    <w:lvl w:ilvl="4">
      <w:start w:val="1"/>
      <w:numFmt w:val="bullet"/>
      <w:lvlText w:val=""/>
      <w:lvlJc w:val="left"/>
      <w:pPr>
        <w:ind w:left="3545" w:hanging="283"/>
      </w:pPr>
      <w:rPr/>
    </w:lvl>
    <w:lvl w:ilvl="5">
      <w:start w:val="1"/>
      <w:numFmt w:val="bullet"/>
      <w:lvlText w:val=""/>
      <w:lvlJc w:val="left"/>
      <w:pPr>
        <w:ind w:left="4254" w:hanging="283.00000000000045"/>
      </w:pPr>
      <w:rPr/>
    </w:lvl>
    <w:lvl w:ilvl="6">
      <w:start w:val="1"/>
      <w:numFmt w:val="bullet"/>
      <w:lvlText w:val=""/>
      <w:lvlJc w:val="left"/>
      <w:pPr>
        <w:ind w:left="4963" w:hanging="283"/>
      </w:pPr>
      <w:rPr/>
    </w:lvl>
    <w:lvl w:ilvl="7">
      <w:start w:val="1"/>
      <w:numFmt w:val="bullet"/>
      <w:lvlText w:val=""/>
      <w:lvlJc w:val="left"/>
      <w:pPr>
        <w:ind w:left="5672" w:hanging="282.9999999999991"/>
      </w:pPr>
      <w:rPr/>
    </w:lvl>
    <w:lvl w:ilvl="8">
      <w:start w:val="1"/>
      <w:numFmt w:val="bullet"/>
      <w:lvlText w:val=""/>
      <w:lvlJc w:val="left"/>
      <w:pPr>
        <w:ind w:left="6381" w:hanging="282.9999999999991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color="e48312" w:space="0" w:sz="24" w:val="single"/>
        <w:left w:color="e48312" w:space="0" w:sz="24" w:val="single"/>
        <w:bottom w:color="e48312" w:space="0" w:sz="24" w:val="single"/>
        <w:right w:color="e48312" w:space="0" w:sz="24" w:val="single"/>
        <w:between w:space="0" w:sz="0" w:val="nil"/>
      </w:pBdr>
      <w:shd w:fill="e48312" w:val="clear"/>
      <w:spacing w:after="0" w:before="0" w:line="240" w:lineRule="auto"/>
      <w:ind w:left="-1354" w:right="-1440" w:firstLine="1354"/>
      <w:jc w:val="left"/>
    </w:pPr>
    <w:rPr>
      <w:rFonts w:ascii="Calibri" w:cs="Calibri" w:eastAsia="Calibri" w:hAnsi="Calibri"/>
      <w:b w:val="1"/>
      <w:i w:val="0"/>
      <w:smallCaps w:val="1"/>
      <w:strike w:val="0"/>
      <w:color w:val="ffffff"/>
      <w:sz w:val="22"/>
      <w:szCs w:val="2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e48312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color="e48312" w:space="2" w:sz="6" w:val="single"/>
        <w:left w:color="e48312" w:space="2" w:sz="6" w:val="single"/>
        <w:bottom w:space="0" w:sz="0" w:val="nil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714109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color="e48312" w:space="2" w:sz="6" w:val="dotted"/>
        <w:left w:color="e48312" w:space="2" w:sz="6" w:val="dotted"/>
        <w:bottom w:space="0" w:sz="0" w:val="nil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aa610d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e48312" w:space="1" w:sz="6" w:val="single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aa610d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e48312" w:space="1" w:sz="6" w:val="dotted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aa610d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1"/>
      <w:strike w:val="0"/>
      <w:color w:val="ffffff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0" w:line="240" w:lineRule="auto"/>
      <w:ind w:left="0" w:right="0" w:firstLine="0"/>
      <w:jc w:val="center"/>
    </w:pPr>
    <w:rPr>
      <w:rFonts w:ascii="Calibri" w:cs="Calibri" w:eastAsia="Calibri" w:hAnsi="Calibri"/>
      <w:b w:val="0"/>
      <w:i w:val="0"/>
      <w:smallCaps w:val="1"/>
      <w:strike w:val="0"/>
      <w:color w:val="e48312"/>
      <w:sz w:val="24"/>
      <w:szCs w:val="24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