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before="200" w:line="240" w:lineRule="auto"/>
        <w:jc w:val="center"/>
        <w:rPr>
          <w:rFonts w:ascii="MathJax_Typewriter" w:cs="MathJax_Typewriter" w:eastAsia="MathJax_Typewriter" w:hAnsi="MathJax_Typewriter"/>
          <w:b w:val="0"/>
          <w:color w:val="b85c00"/>
          <w:sz w:val="44"/>
          <w:szCs w:val="44"/>
        </w:rPr>
      </w:pPr>
      <w:r w:rsidDel="00000000" w:rsidR="00000000" w:rsidRPr="00000000">
        <w:rPr>
          <w:rFonts w:ascii="MathJax_Typewriter" w:cs="MathJax_Typewriter" w:eastAsia="MathJax_Typewriter" w:hAnsi="MathJax_Typewriter"/>
          <w:b w:val="0"/>
          <w:color w:val="b85c00"/>
          <w:sz w:val="44"/>
          <w:szCs w:val="44"/>
          <w:rtl w:val="0"/>
        </w:rPr>
        <w:t xml:space="preserve">The Bureau 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-2387599</wp:posOffset>
                </wp:positionH>
                <wp:positionV relativeFrom="paragraph">
                  <wp:posOffset>-457199</wp:posOffset>
                </wp:positionV>
                <wp:extent cx="9267825" cy="2300288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359720" y="2655720"/>
                          <a:ext cx="7972560" cy="2248560"/>
                        </a:xfrm>
                        <a:prstGeom prst="rect">
                          <a:avLst/>
                        </a:prstGeom>
                        <a:solidFill>
                          <a:srgbClr val="25242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-2387599</wp:posOffset>
                </wp:positionH>
                <wp:positionV relativeFrom="paragraph">
                  <wp:posOffset>-457199</wp:posOffset>
                </wp:positionV>
                <wp:extent cx="9267825" cy="2300288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67825" cy="23002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-700404</wp:posOffset>
            </wp:positionH>
            <wp:positionV relativeFrom="paragraph">
              <wp:posOffset>-266064</wp:posOffset>
            </wp:positionV>
            <wp:extent cx="1971675" cy="1790065"/>
            <wp:effectExtent b="0" l="0" r="0" t="0"/>
            <wp:wrapSquare wrapText="bothSides" distB="0" distT="0" distL="0" distR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026" r="234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790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MathJax_Typewriter" w:cs="MathJax_Typewriter" w:eastAsia="MathJax_Typewriter" w:hAnsi="MathJax_Typewriter"/>
          <w:b w:val="0"/>
          <w:color w:val="b85c00"/>
          <w:sz w:val="44"/>
          <w:szCs w:val="44"/>
        </w:rPr>
      </w:pPr>
      <w:r w:rsidDel="00000000" w:rsidR="00000000" w:rsidRPr="00000000">
        <w:rPr>
          <w:rFonts w:ascii="MathJax_Typewriter" w:cs="MathJax_Typewriter" w:eastAsia="MathJax_Typewriter" w:hAnsi="MathJax_Typewriter"/>
          <w:b w:val="0"/>
          <w:color w:val="b85c00"/>
          <w:sz w:val="44"/>
          <w:szCs w:val="44"/>
          <w:rtl w:val="0"/>
        </w:rPr>
        <w:t xml:space="preserve">Cyber Consulting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4">
      <w:pPr>
        <w:jc w:val="center"/>
        <w:rPr>
          <w:rFonts w:ascii="EB Garamond" w:cs="EB Garamond" w:eastAsia="EB Garamond" w:hAnsi="EB Garamond"/>
          <w:b w:val="1"/>
          <w:i w:val="1"/>
          <w:color w:val="b85c00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color w:val="b85c00"/>
          <w:sz w:val="22"/>
          <w:szCs w:val="22"/>
          <w:rtl w:val="0"/>
        </w:rPr>
        <w:t xml:space="preserve">“In tenebras leviter ingredimur”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hd w:fill="e48312" w:val="clear"/>
        <w:rPr>
          <w:rFonts w:ascii="Spectral" w:cs="Spectral" w:eastAsia="Spectral" w:hAnsi="Spectral"/>
          <w:color w:val="000000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color w:val="000000"/>
          <w:sz w:val="26"/>
          <w:szCs w:val="26"/>
          <w:rtl w:val="0"/>
        </w:rPr>
        <w:t xml:space="preserve">Executive Summary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spacing w:after="14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Campaign Overview: Brief description of the campaign.</w:t>
      </w:r>
    </w:p>
    <w:p w:rsidR="00000000" w:rsidDel="00000000" w:rsidP="00000000" w:rsidRDefault="00000000" w:rsidRPr="00000000" w14:paraId="00000009">
      <w:pPr>
        <w:numPr>
          <w:ilvl w:val="0"/>
          <w:numId w:val="10"/>
        </w:numPr>
        <w:spacing w:after="14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Findings: Summary of the most significant discoveries.</w:t>
      </w:r>
    </w:p>
    <w:p w:rsidR="00000000" w:rsidDel="00000000" w:rsidP="00000000" w:rsidRDefault="00000000" w:rsidRPr="00000000" w14:paraId="0000000A">
      <w:pPr>
        <w:numPr>
          <w:ilvl w:val="0"/>
          <w:numId w:val="10"/>
        </w:numPr>
        <w:spacing w:after="14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Recommendations: Suggested actions based on findings.</w:t>
      </w:r>
    </w:p>
    <w:p w:rsidR="00000000" w:rsidDel="00000000" w:rsidP="00000000" w:rsidRDefault="00000000" w:rsidRPr="00000000" w14:paraId="0000000B">
      <w:pPr>
        <w:rPr>
          <w:color w:val="b85c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hd w:fill="e48312" w:val="clear"/>
        <w:rPr>
          <w:rFonts w:ascii="Spectral" w:cs="Spectral" w:eastAsia="Spectral" w:hAnsi="Spectral"/>
          <w:color w:val="000000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color w:val="000000"/>
          <w:sz w:val="26"/>
          <w:szCs w:val="26"/>
          <w:rtl w:val="0"/>
        </w:rPr>
        <w:t xml:space="preserve">Campaign Background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1"/>
        </w:numPr>
        <w:tabs>
          <w:tab w:val="left" w:leader="none" w:pos="0"/>
        </w:tabs>
        <w:spacing w:after="140" w:before="0" w:lineRule="auto"/>
        <w:ind w:left="709" w:hanging="283"/>
      </w:pPr>
      <w:r w:rsidDel="00000000" w:rsidR="00000000" w:rsidRPr="00000000">
        <w:rPr>
          <w:b w:val="1"/>
          <w:rtl w:val="0"/>
        </w:rPr>
        <w:t xml:space="preserve">Initiator: Who is behind the campaign (if known).</w:t>
      </w:r>
    </w:p>
    <w:p w:rsidR="00000000" w:rsidDel="00000000" w:rsidP="00000000" w:rsidRDefault="00000000" w:rsidRPr="00000000" w14:paraId="00000010">
      <w:pPr>
        <w:numPr>
          <w:ilvl w:val="0"/>
          <w:numId w:val="11"/>
        </w:numPr>
        <w:tabs>
          <w:tab w:val="left" w:leader="none" w:pos="0"/>
        </w:tabs>
        <w:spacing w:after="140" w:before="0" w:lineRule="auto"/>
        <w:ind w:left="709" w:hanging="283"/>
      </w:pPr>
      <w:r w:rsidDel="00000000" w:rsidR="00000000" w:rsidRPr="00000000">
        <w:rPr>
          <w:b w:val="1"/>
          <w:rtl w:val="0"/>
        </w:rPr>
        <w:t xml:space="preserve">Objective: Purpose or goals of the campaign.</w:t>
      </w:r>
    </w:p>
    <w:p w:rsidR="00000000" w:rsidDel="00000000" w:rsidP="00000000" w:rsidRDefault="00000000" w:rsidRPr="00000000" w14:paraId="00000011">
      <w:pPr>
        <w:numPr>
          <w:ilvl w:val="0"/>
          <w:numId w:val="11"/>
        </w:numPr>
        <w:tabs>
          <w:tab w:val="left" w:leader="none" w:pos="0"/>
        </w:tabs>
        <w:spacing w:after="140" w:before="0" w:lineRule="auto"/>
        <w:ind w:left="709" w:hanging="283"/>
      </w:pPr>
      <w:r w:rsidDel="00000000" w:rsidR="00000000" w:rsidRPr="00000000">
        <w:rPr>
          <w:b w:val="1"/>
          <w:rtl w:val="0"/>
        </w:rPr>
        <w:t xml:space="preserve">Target Sectors/Regions: Industries or locations targeted.</w:t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tabs>
          <w:tab w:val="left" w:leader="none" w:pos="0"/>
        </w:tabs>
        <w:spacing w:after="140" w:before="0" w:lineRule="auto"/>
        <w:ind w:left="709" w:hanging="283"/>
      </w:pPr>
      <w:r w:rsidDel="00000000" w:rsidR="00000000" w:rsidRPr="00000000">
        <w:rPr>
          <w:b w:val="1"/>
          <w:rtl w:val="0"/>
        </w:rPr>
        <w:t xml:space="preserve">Campaign Timeline: Start and end dates, or ongoing status.</w:t>
      </w:r>
    </w:p>
    <w:p w:rsidR="00000000" w:rsidDel="00000000" w:rsidP="00000000" w:rsidRDefault="00000000" w:rsidRPr="00000000" w14:paraId="00000013">
      <w:pPr>
        <w:tabs>
          <w:tab w:val="left" w:leader="none" w:pos="0"/>
        </w:tabs>
        <w:spacing w:after="14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spacing w:after="0" w:before="1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4"/>
          <w:szCs w:val="1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hd w:fill="e48312" w:val="clear"/>
        <w:rPr>
          <w:rFonts w:ascii="Spectral" w:cs="Spectral" w:eastAsia="Spectral" w:hAnsi="Spectral"/>
          <w:color w:val="000000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color w:val="000000"/>
          <w:sz w:val="26"/>
          <w:szCs w:val="26"/>
          <w:rtl w:val="0"/>
        </w:rPr>
        <w:t xml:space="preserve">Detailed Threat Analysis</w:t>
      </w:r>
    </w:p>
    <w:p w:rsidR="00000000" w:rsidDel="00000000" w:rsidP="00000000" w:rsidRDefault="00000000" w:rsidRPr="00000000" w14:paraId="00000016">
      <w:pPr>
        <w:tabs>
          <w:tab w:val="left" w:leader="none" w:pos="0"/>
        </w:tabs>
        <w:spacing w:after="24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0"/>
        </w:tabs>
        <w:spacing w:after="24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Techniques and Tools Used</w:t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tabs>
          <w:tab w:val="left" w:leader="none" w:pos="0"/>
        </w:tabs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Attack Vectors: Methods used (phishing, watering hole, etc.).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tabs>
          <w:tab w:val="left" w:leader="none" w:pos="0"/>
        </w:tabs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Malware/Exploits: Specific malware or vulnerabilities used.</w:t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tabs>
          <w:tab w:val="left" w:leader="none" w:pos="0"/>
        </w:tabs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Infrastructure: Command-and-control servers, hosting services.</w:t>
      </w:r>
    </w:p>
    <w:p w:rsidR="00000000" w:rsidDel="00000000" w:rsidP="00000000" w:rsidRDefault="00000000" w:rsidRPr="00000000" w14:paraId="0000001B">
      <w:pPr>
        <w:tabs>
          <w:tab w:val="left" w:leader="none" w:pos="0"/>
        </w:tabs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Tactics, Techniques, and Procedures (TTPs)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tabs>
          <w:tab w:val="left" w:leader="none" w:pos="0"/>
        </w:tabs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Patterns of Behavior: Common TTPs associated with the campaign.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tabs>
          <w:tab w:val="left" w:leader="none" w:pos="0"/>
        </w:tabs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Indicators of Compromise (IOCs): IOCs tied to the campaign.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tabs>
          <w:tab w:val="left" w:leader="none" w:pos="0"/>
        </w:tabs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Notable Variations: Any unique or evolving methods.</w:t>
      </w:r>
    </w:p>
    <w:p w:rsidR="00000000" w:rsidDel="00000000" w:rsidP="00000000" w:rsidRDefault="00000000" w:rsidRPr="00000000" w14:paraId="0000001F">
      <w:pPr>
        <w:tabs>
          <w:tab w:val="left" w:leader="none" w:pos="0"/>
        </w:tabs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0"/>
        </w:tabs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Attribution</w:t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tabs>
          <w:tab w:val="left" w:leader="none" w:pos="0"/>
        </w:tabs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Attribution Confidence: Level of certainty in linking to known actors.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tabs>
          <w:tab w:val="left" w:leader="none" w:pos="0"/>
        </w:tabs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Connections to Previous Campaigns: Links to past operations.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tabs>
          <w:tab w:val="left" w:leader="none" w:pos="0"/>
        </w:tabs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Nation-State Involvement: Any government sponsorship or involvement.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140" w:before="0" w:line="276" w:lineRule="auto"/>
        <w:ind w:left="709" w:right="0" w:hanging="283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1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1"/>
        <w:spacing w:after="0" w:before="0" w:line="240" w:lineRule="auto"/>
        <w:ind w:left="0" w:right="0" w:firstLine="0"/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hd w:fill="e48312" w:val="clear"/>
        <w:rPr>
          <w:rFonts w:ascii="Spectral" w:cs="Spectral" w:eastAsia="Spectral" w:hAnsi="Spectral"/>
          <w:color w:val="000000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color w:val="000000"/>
          <w:sz w:val="26"/>
          <w:szCs w:val="26"/>
          <w:rtl w:val="0"/>
        </w:rPr>
        <w:t xml:space="preserve">Impact assessment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b w:val="1"/>
          <w:rtl w:val="0"/>
        </w:rPr>
        <w:t xml:space="preserve">Affected Entities: Organizations impacted by the campaign.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b w:val="1"/>
          <w:rtl w:val="0"/>
        </w:rPr>
        <w:t xml:space="preserve">Data Compromised: Information stolen or at risk.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b w:val="1"/>
          <w:rtl w:val="0"/>
        </w:rPr>
        <w:t xml:space="preserve">Operational Disruption: Impact on operations of affected entities.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b w:val="1"/>
          <w:rtl w:val="0"/>
        </w:rPr>
        <w:t xml:space="preserve">Financial Impact: Estimated or known financial losses.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tabs>
          <w:tab w:val="left" w:leader="none" w:pos="0"/>
        </w:tabs>
        <w:spacing w:after="140" w:before="0" w:lineRule="auto"/>
        <w:ind w:left="720" w:hanging="283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shd w:fill="e48312" w:val="clea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pectral" w:cs="Spectral" w:eastAsia="Spectral" w:hAnsi="Spectral"/>
          <w:color w:val="000000"/>
          <w:sz w:val="26"/>
          <w:szCs w:val="26"/>
          <w:rtl w:val="0"/>
        </w:rPr>
        <w:t xml:space="preserve">Recommendations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b w:val="1"/>
          <w:rtl w:val="0"/>
        </w:rPr>
        <w:t xml:space="preserve">Recommended Actions</w:t>
      </w:r>
      <w:r w:rsidDel="00000000" w:rsidR="00000000" w:rsidRPr="00000000">
        <w:rPr>
          <w:rtl w:val="0"/>
        </w:rPr>
        <w:t xml:space="preserve">: Specific steps to mitigate risks.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b w:val="1"/>
          <w:rtl w:val="0"/>
        </w:rPr>
        <w:t xml:space="preserve">Detection Methods</w:t>
      </w:r>
      <w:r w:rsidDel="00000000" w:rsidR="00000000" w:rsidRPr="00000000">
        <w:rPr>
          <w:rtl w:val="0"/>
        </w:rPr>
        <w:t xml:space="preserve">: How to detect similar activity in the future.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b w:val="1"/>
          <w:rtl w:val="0"/>
        </w:rPr>
        <w:t xml:space="preserve">Long-term Strategies</w:t>
      </w:r>
      <w:r w:rsidDel="00000000" w:rsidR="00000000" w:rsidRPr="00000000">
        <w:rPr>
          <w:rtl w:val="0"/>
        </w:rPr>
        <w:t xml:space="preserve">: Recommendations for improving overall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tabs>
          <w:tab w:val="left" w:leader="none" w:pos="0"/>
        </w:tabs>
        <w:spacing w:after="140" w:before="0" w:lineRule="auto"/>
        <w:ind w:left="720" w:hanging="283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140" w:before="0" w:line="276" w:lineRule="auto"/>
        <w:ind w:left="720" w:right="0" w:hanging="283"/>
        <w:jc w:val="left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shd w:fill="e48312" w:val="clear"/>
        <w:rPr>
          <w:rFonts w:ascii="Spectral" w:cs="Spectral" w:eastAsia="Spectral" w:hAnsi="Spectral"/>
          <w:color w:val="000000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color w:val="000000"/>
          <w:sz w:val="26"/>
          <w:szCs w:val="26"/>
          <w:rtl w:val="0"/>
        </w:rPr>
        <w:t xml:space="preserve">Report contributors &amp; sources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276" w:lineRule="auto"/>
        <w:ind w:left="720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Author(s):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Names, titles, and roles of those who prepared the report.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276" w:lineRule="auto"/>
        <w:ind w:left="720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Reviewers: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Names, titles, and roles of those who reviewed the report.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140" w:before="0" w:line="276" w:lineRule="auto"/>
        <w:ind w:left="720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Acknowledgements: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Any </w:t>
      </w:r>
      <w:r w:rsidDel="00000000" w:rsidR="00000000" w:rsidRPr="00000000">
        <w:rPr>
          <w:rtl w:val="0"/>
        </w:rPr>
        <w:t xml:space="preserve">sources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or supporting teams.</w:t>
      </w:r>
    </w:p>
    <w:sectPr>
      <w:footerReference r:id="rId8" w:type="default"/>
      <w:pgSz w:h="15840" w:w="12240" w:orient="portrait"/>
      <w:pgMar w:bottom="921" w:top="720" w:left="1440" w:right="1440" w:header="0" w:footer="86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MathJax_Typewriter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keepNext w:val="0"/>
      <w:keepLines w:val="0"/>
      <w:widowControl w:val="1"/>
      <w:spacing w:after="0" w:before="200" w:line="240" w:lineRule="auto"/>
      <w:ind w:left="-144" w:right="0" w:firstLine="0"/>
      <w:jc w:val="lef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"/>
      <w:lvlJc w:val="left"/>
      <w:pPr>
        <w:ind w:left="709" w:hanging="282.9999999999999"/>
      </w:pPr>
      <w:rPr/>
    </w:lvl>
    <w:lvl w:ilvl="1">
      <w:start w:val="1"/>
      <w:numFmt w:val="bullet"/>
      <w:lvlText w:val=""/>
      <w:lvlJc w:val="left"/>
      <w:pPr>
        <w:ind w:left="1418" w:hanging="282.9999999999998"/>
      </w:pPr>
      <w:rPr/>
    </w:lvl>
    <w:lvl w:ilvl="2">
      <w:start w:val="1"/>
      <w:numFmt w:val="bullet"/>
      <w:lvlText w:val=""/>
      <w:lvlJc w:val="left"/>
      <w:pPr>
        <w:ind w:left="2127" w:hanging="283.0000000000002"/>
      </w:pPr>
      <w:rPr/>
    </w:lvl>
    <w:lvl w:ilvl="3">
      <w:start w:val="1"/>
      <w:numFmt w:val="bullet"/>
      <w:lvlText w:val=""/>
      <w:lvlJc w:val="left"/>
      <w:pPr>
        <w:ind w:left="2836" w:hanging="283"/>
      </w:pPr>
      <w:rPr/>
    </w:lvl>
    <w:lvl w:ilvl="4">
      <w:start w:val="1"/>
      <w:numFmt w:val="bullet"/>
      <w:lvlText w:val=""/>
      <w:lvlJc w:val="left"/>
      <w:pPr>
        <w:ind w:left="3545" w:hanging="283"/>
      </w:pPr>
      <w:rPr/>
    </w:lvl>
    <w:lvl w:ilvl="5">
      <w:start w:val="1"/>
      <w:numFmt w:val="bullet"/>
      <w:lvlText w:val=""/>
      <w:lvlJc w:val="left"/>
      <w:pPr>
        <w:ind w:left="4254" w:hanging="283.00000000000045"/>
      </w:pPr>
      <w:rPr/>
    </w:lvl>
    <w:lvl w:ilvl="6">
      <w:start w:val="1"/>
      <w:numFmt w:val="bullet"/>
      <w:lvlText w:val=""/>
      <w:lvlJc w:val="left"/>
      <w:pPr>
        <w:ind w:left="4963" w:hanging="283"/>
      </w:pPr>
      <w:rPr/>
    </w:lvl>
    <w:lvl w:ilvl="7">
      <w:start w:val="1"/>
      <w:numFmt w:val="bullet"/>
      <w:lvlText w:val=""/>
      <w:lvlJc w:val="left"/>
      <w:pPr>
        <w:ind w:left="5672" w:hanging="282.9999999999991"/>
      </w:pPr>
      <w:rPr/>
    </w:lvl>
    <w:lvl w:ilvl="8">
      <w:start w:val="1"/>
      <w:numFmt w:val="bullet"/>
      <w:lvlText w:val=""/>
      <w:lvlJc w:val="left"/>
      <w:pPr>
        <w:ind w:left="6381" w:hanging="282.9999999999991"/>
      </w:pPr>
      <w:rPr/>
    </w:lvl>
  </w:abstractNum>
  <w:abstractNum w:abstractNumId="3">
    <w:lvl w:ilvl="0">
      <w:start w:val="1"/>
      <w:numFmt w:val="bullet"/>
      <w:lvlText w:val=""/>
      <w:lvlJc w:val="left"/>
      <w:pPr>
        <w:ind w:left="720" w:hanging="283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ind w:left="720" w:hanging="283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">
    <w:lvl w:ilvl="0">
      <w:start w:val="1"/>
      <w:numFmt w:val="bullet"/>
      <w:lvlText w:val=""/>
      <w:lvlJc w:val="left"/>
      <w:pPr>
        <w:ind w:left="720" w:hanging="283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6">
    <w:lvl w:ilvl="0">
      <w:start w:val="1"/>
      <w:numFmt w:val="bullet"/>
      <w:lvlText w:val=""/>
      <w:lvlJc w:val="left"/>
      <w:pPr>
        <w:ind w:left="720" w:hanging="283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7">
    <w:lvl w:ilvl="0">
      <w:start w:val="1"/>
      <w:numFmt w:val="bullet"/>
      <w:lvlText w:val=""/>
      <w:lvlJc w:val="left"/>
      <w:pPr>
        <w:ind w:left="720" w:hanging="283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11">
    <w:lvl w:ilvl="0">
      <w:start w:val="1"/>
      <w:numFmt w:val="bullet"/>
      <w:lvlText w:val=""/>
      <w:lvlJc w:val="left"/>
      <w:pPr>
        <w:ind w:left="709" w:hanging="282.9999999999999"/>
      </w:pPr>
      <w:rPr/>
    </w:lvl>
    <w:lvl w:ilvl="1">
      <w:start w:val="1"/>
      <w:numFmt w:val="bullet"/>
      <w:lvlText w:val=""/>
      <w:lvlJc w:val="left"/>
      <w:pPr>
        <w:ind w:left="1418" w:hanging="282.9999999999998"/>
      </w:pPr>
      <w:rPr/>
    </w:lvl>
    <w:lvl w:ilvl="2">
      <w:start w:val="1"/>
      <w:numFmt w:val="bullet"/>
      <w:lvlText w:val=""/>
      <w:lvlJc w:val="left"/>
      <w:pPr>
        <w:ind w:left="2127" w:hanging="283.0000000000002"/>
      </w:pPr>
      <w:rPr/>
    </w:lvl>
    <w:lvl w:ilvl="3">
      <w:start w:val="1"/>
      <w:numFmt w:val="bullet"/>
      <w:lvlText w:val=""/>
      <w:lvlJc w:val="left"/>
      <w:pPr>
        <w:ind w:left="2836" w:hanging="283"/>
      </w:pPr>
      <w:rPr/>
    </w:lvl>
    <w:lvl w:ilvl="4">
      <w:start w:val="1"/>
      <w:numFmt w:val="bullet"/>
      <w:lvlText w:val=""/>
      <w:lvlJc w:val="left"/>
      <w:pPr>
        <w:ind w:left="3545" w:hanging="283"/>
      </w:pPr>
      <w:rPr/>
    </w:lvl>
    <w:lvl w:ilvl="5">
      <w:start w:val="1"/>
      <w:numFmt w:val="bullet"/>
      <w:lvlText w:val=""/>
      <w:lvlJc w:val="left"/>
      <w:pPr>
        <w:ind w:left="4254" w:hanging="283.00000000000045"/>
      </w:pPr>
      <w:rPr/>
    </w:lvl>
    <w:lvl w:ilvl="6">
      <w:start w:val="1"/>
      <w:numFmt w:val="bullet"/>
      <w:lvlText w:val=""/>
      <w:lvlJc w:val="left"/>
      <w:pPr>
        <w:ind w:left="4963" w:hanging="283"/>
      </w:pPr>
      <w:rPr/>
    </w:lvl>
    <w:lvl w:ilvl="7">
      <w:start w:val="1"/>
      <w:numFmt w:val="bullet"/>
      <w:lvlText w:val=""/>
      <w:lvlJc w:val="left"/>
      <w:pPr>
        <w:ind w:left="5672" w:hanging="282.9999999999991"/>
      </w:pPr>
      <w:rPr/>
    </w:lvl>
    <w:lvl w:ilvl="8">
      <w:start w:val="1"/>
      <w:numFmt w:val="bullet"/>
      <w:lvlText w:val=""/>
      <w:lvlJc w:val="left"/>
      <w:pPr>
        <w:ind w:left="6381" w:hanging="282.9999999999991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lang w:val="en-US"/>
      </w:rPr>
    </w:rPrDefault>
    <w:pPrDefault>
      <w:pPr>
        <w:spacing w:after="200" w:before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0"/>
      <w:widowControl w:val="1"/>
      <w:pBdr>
        <w:top w:color="e48312" w:space="0" w:sz="24" w:val="single"/>
        <w:left w:color="e48312" w:space="0" w:sz="24" w:val="single"/>
        <w:bottom w:color="e48312" w:space="0" w:sz="24" w:val="single"/>
        <w:right w:color="e48312" w:space="0" w:sz="24" w:val="single"/>
        <w:between w:space="0" w:sz="0" w:val="nil"/>
      </w:pBdr>
      <w:shd w:fill="e48312" w:val="clear"/>
      <w:spacing w:after="0" w:before="0" w:line="240" w:lineRule="auto"/>
      <w:ind w:left="-1354" w:right="-1440" w:firstLine="1354"/>
      <w:jc w:val="left"/>
    </w:pPr>
    <w:rPr>
      <w:rFonts w:ascii="Calibri" w:cs="Calibri" w:eastAsia="Calibri" w:hAnsi="Calibri"/>
      <w:b w:val="1"/>
      <w:i w:val="0"/>
      <w:smallCaps w:val="1"/>
      <w:strike w:val="0"/>
      <w:color w:val="ffffff"/>
      <w:sz w:val="22"/>
      <w:szCs w:val="2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e48312"/>
      <w:sz w:val="22"/>
      <w:szCs w:val="2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1"/>
      <w:pBdr>
        <w:top w:color="e48312" w:space="2" w:sz="6" w:val="single"/>
        <w:left w:color="e48312" w:space="2" w:sz="6" w:val="single"/>
        <w:bottom w:space="0" w:sz="0" w:val="nil"/>
        <w:right w:space="0" w:sz="0" w:val="nil"/>
        <w:between w:space="0" w:sz="0" w:val="nil"/>
      </w:pBdr>
      <w:shd w:fill="auto" w:val="clear"/>
      <w:spacing w:after="0" w:before="30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1"/>
      <w:strike w:val="0"/>
      <w:color w:val="714109"/>
      <w:sz w:val="22"/>
      <w:szCs w:val="22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1"/>
      <w:pBdr>
        <w:top w:color="e48312" w:space="2" w:sz="6" w:val="dotted"/>
        <w:left w:color="e48312" w:space="2" w:sz="6" w:val="dotted"/>
        <w:bottom w:space="0" w:sz="0" w:val="nil"/>
        <w:right w:space="0" w:sz="0" w:val="nil"/>
        <w:between w:space="0" w:sz="0" w:val="nil"/>
      </w:pBdr>
      <w:shd w:fill="auto" w:val="clear"/>
      <w:spacing w:after="0" w:before="30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1"/>
      <w:strike w:val="0"/>
      <w:color w:val="aa610d"/>
      <w:sz w:val="22"/>
      <w:szCs w:val="22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e48312" w:space="1" w:sz="6" w:val="single"/>
        <w:right w:space="0" w:sz="0" w:val="nil"/>
        <w:between w:space="0" w:sz="0" w:val="nil"/>
      </w:pBdr>
      <w:shd w:fill="auto" w:val="clear"/>
      <w:spacing w:after="0" w:before="30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1"/>
      <w:strike w:val="0"/>
      <w:color w:val="aa610d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e48312" w:space="1" w:sz="6" w:val="dotted"/>
        <w:right w:space="0" w:sz="0" w:val="nil"/>
        <w:between w:space="0" w:sz="0" w:val="nil"/>
      </w:pBdr>
      <w:shd w:fill="auto" w:val="clear"/>
      <w:spacing w:after="0" w:before="30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1"/>
      <w:strike w:val="0"/>
      <w:color w:val="aa610d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1"/>
      <w:strike w:val="0"/>
      <w:color w:val="ffffff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0" w:line="240" w:lineRule="auto"/>
      <w:ind w:left="0" w:right="0" w:firstLine="0"/>
      <w:jc w:val="center"/>
    </w:pPr>
    <w:rPr>
      <w:rFonts w:ascii="Calibri" w:cs="Calibri" w:eastAsia="Calibri" w:hAnsi="Calibri"/>
      <w:b w:val="0"/>
      <w:i w:val="0"/>
      <w:smallCaps w:val="1"/>
      <w:strike w:val="0"/>
      <w:color w:val="e48312"/>
      <w:sz w:val="24"/>
      <w:szCs w:val="24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