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before="200" w:line="240" w:lineRule="auto"/>
        <w:jc w:val="center"/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</w:rPr>
      </w:pPr>
      <w:r w:rsidDel="00000000" w:rsidR="00000000" w:rsidRPr="00000000"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  <w:rtl w:val="0"/>
        </w:rPr>
        <w:t xml:space="preserve">The Bureau 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-2387599</wp:posOffset>
                </wp:positionH>
                <wp:positionV relativeFrom="paragraph">
                  <wp:posOffset>-457199</wp:posOffset>
                </wp:positionV>
                <wp:extent cx="9267825" cy="230028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359720" y="2655720"/>
                          <a:ext cx="7972560" cy="2248560"/>
                        </a:xfrm>
                        <a:prstGeom prst="rect">
                          <a:avLst/>
                        </a:prstGeom>
                        <a:solidFill>
                          <a:srgbClr val="25242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-2387599</wp:posOffset>
                </wp:positionH>
                <wp:positionV relativeFrom="paragraph">
                  <wp:posOffset>-457199</wp:posOffset>
                </wp:positionV>
                <wp:extent cx="9267825" cy="2300288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67825" cy="23002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-700404</wp:posOffset>
            </wp:positionH>
            <wp:positionV relativeFrom="paragraph">
              <wp:posOffset>-266064</wp:posOffset>
            </wp:positionV>
            <wp:extent cx="1971675" cy="1790065"/>
            <wp:effectExtent b="0" l="0" r="0" t="0"/>
            <wp:wrapSquare wrapText="bothSides" distB="0" distT="0" distL="0" distR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026" r="23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90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</w:rPr>
      </w:pPr>
      <w:r w:rsidDel="00000000" w:rsidR="00000000" w:rsidRPr="00000000">
        <w:rPr>
          <w:rFonts w:ascii="MathJax_Typewriter" w:cs="MathJax_Typewriter" w:eastAsia="MathJax_Typewriter" w:hAnsi="MathJax_Typewriter"/>
          <w:b w:val="0"/>
          <w:color w:val="b85c00"/>
          <w:sz w:val="44"/>
          <w:szCs w:val="44"/>
          <w:rtl w:val="0"/>
        </w:rPr>
        <w:t xml:space="preserve">Cyber Consulting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4">
      <w:pPr>
        <w:jc w:val="center"/>
        <w:rPr>
          <w:rFonts w:ascii="EB Garamond" w:cs="EB Garamond" w:eastAsia="EB Garamond" w:hAnsi="EB Garamond"/>
          <w:b w:val="1"/>
          <w:i w:val="1"/>
          <w:color w:val="b85c00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color w:val="b85c00"/>
          <w:sz w:val="22"/>
          <w:szCs w:val="22"/>
          <w:rtl w:val="0"/>
        </w:rPr>
        <w:t xml:space="preserve">“In tenebras leviter ingredimur”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Executive Summary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Overview of the report's purpose.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Key Findings: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Summary of major threats, including potential impact.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Recommendations: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Strategic recommendations for risk mitigation.</w:t>
      </w:r>
    </w:p>
    <w:p w:rsidR="00000000" w:rsidDel="00000000" w:rsidP="00000000" w:rsidRDefault="00000000" w:rsidRPr="00000000" w14:paraId="0000000B">
      <w:pPr>
        <w:rPr>
          <w:color w:val="b85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Threat Actor Overview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Name/Alias</w:t>
      </w:r>
      <w:r w:rsidDel="00000000" w:rsidR="00000000" w:rsidRPr="00000000">
        <w:rPr>
          <w:rtl w:val="0"/>
        </w:rPr>
        <w:t xml:space="preserve">: Known names or aliases.</w:t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Associated Groups</w:t>
      </w:r>
      <w:r w:rsidDel="00000000" w:rsidR="00000000" w:rsidRPr="00000000">
        <w:rPr>
          <w:rtl w:val="0"/>
        </w:rPr>
        <w:t xml:space="preserve">: Links to larger threat groups.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Motivation</w:t>
      </w:r>
      <w:r w:rsidDel="00000000" w:rsidR="00000000" w:rsidRPr="00000000">
        <w:rPr>
          <w:rtl w:val="0"/>
        </w:rPr>
        <w:t xml:space="preserve">: Financial, political, ideological, etc.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tabs>
          <w:tab w:val="left" w:leader="none" w:pos="0"/>
        </w:tabs>
        <w:spacing w:after="140" w:before="0" w:lineRule="auto"/>
        <w:ind w:left="709" w:hanging="283"/>
      </w:pPr>
      <w:r w:rsidDel="00000000" w:rsidR="00000000" w:rsidRPr="00000000">
        <w:rPr>
          <w:b w:val="1"/>
          <w:rtl w:val="0"/>
        </w:rPr>
        <w:t xml:space="preserve">Known Operations</w:t>
      </w:r>
      <w:r w:rsidDel="00000000" w:rsidR="00000000" w:rsidRPr="00000000">
        <w:rPr>
          <w:rtl w:val="0"/>
        </w:rPr>
        <w:t xml:space="preserve">: Summary of past significant operations.</w:t>
      </w:r>
    </w:p>
    <w:p w:rsidR="00000000" w:rsidDel="00000000" w:rsidP="00000000" w:rsidRDefault="00000000" w:rsidRPr="00000000" w14:paraId="00000013">
      <w:pPr>
        <w:tabs>
          <w:tab w:val="left" w:leader="none" w:pos="0"/>
        </w:tabs>
        <w:spacing w:after="14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spacing w:after="0" w:before="1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4"/>
          <w:szCs w:val="1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Detailed Threat Analysis</w:t>
      </w:r>
    </w:p>
    <w:p w:rsidR="00000000" w:rsidDel="00000000" w:rsidP="00000000" w:rsidRDefault="00000000" w:rsidRPr="00000000" w14:paraId="00000016">
      <w:pPr>
        <w:tabs>
          <w:tab w:val="left" w:leader="none" w:pos="0"/>
        </w:tabs>
        <w:spacing w:after="24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0"/>
        </w:tabs>
        <w:spacing w:after="24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Attribution and Relationships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tabs>
          <w:tab w:val="left" w:leader="none" w:pos="0"/>
        </w:tabs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Attribution Confidence</w:t>
      </w:r>
      <w:r w:rsidDel="00000000" w:rsidR="00000000" w:rsidRPr="00000000">
        <w:rPr>
          <w:rtl w:val="0"/>
        </w:rPr>
        <w:t xml:space="preserve">: Level of certainty in attribution.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tabs>
          <w:tab w:val="left" w:leader="none" w:pos="0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Nation-State Ties</w:t>
      </w:r>
      <w:r w:rsidDel="00000000" w:rsidR="00000000" w:rsidRPr="00000000">
        <w:rPr>
          <w:rtl w:val="0"/>
        </w:rPr>
        <w:t xml:space="preserve">: Links to governments, if any.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tabs>
          <w:tab w:val="left" w:leader="none" w:pos="0"/>
        </w:tabs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Collaborations</w:t>
      </w:r>
      <w:r w:rsidDel="00000000" w:rsidR="00000000" w:rsidRPr="00000000">
        <w:rPr>
          <w:rtl w:val="0"/>
        </w:rPr>
        <w:t xml:space="preserve">: Alliances with other threat actors.</w:t>
      </w:r>
    </w:p>
    <w:p w:rsidR="00000000" w:rsidDel="00000000" w:rsidP="00000000" w:rsidRDefault="00000000" w:rsidRPr="00000000" w14:paraId="0000001B">
      <w:pPr>
        <w:tabs>
          <w:tab w:val="left" w:leader="none" w:pos="0"/>
        </w:tabs>
        <w:spacing w:after="24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Tactics, Techniques, and Procedures (TTPs)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tabs>
          <w:tab w:val="left" w:leader="none" w:pos="0"/>
        </w:tabs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Attack Vectors: Common methods used (e.g., phishing, malware).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tabs>
          <w:tab w:val="left" w:leader="none" w:pos="0"/>
        </w:tabs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Exploited Vulnerabilities: Known weaknesses exploited.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tabs>
          <w:tab w:val="left" w:leader="none" w:pos="0"/>
        </w:tabs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 Used: Malware, exploits, etc.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tabs>
          <w:tab w:val="left" w:leader="none" w:pos="0"/>
        </w:tabs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Operational Style: Behavioral patterns and tendencies.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0"/>
        </w:tabs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Indicators of Compromise (IOCs)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tabs>
          <w:tab w:val="left" w:leader="none" w:pos="0"/>
        </w:tabs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 Addresses</w:t>
      </w:r>
      <w:r w:rsidDel="00000000" w:rsidR="00000000" w:rsidRPr="00000000">
        <w:rPr>
          <w:rtl w:val="0"/>
        </w:rPr>
        <w:t xml:space="preserve">: Known malicious IPs.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tabs>
          <w:tab w:val="left" w:leader="none" w:pos="0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Domains</w:t>
      </w:r>
      <w:r w:rsidDel="00000000" w:rsidR="00000000" w:rsidRPr="00000000">
        <w:rPr>
          <w:rtl w:val="0"/>
        </w:rPr>
        <w:t xml:space="preserve">: Malicious or compromised domains.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tabs>
          <w:tab w:val="left" w:leader="none" w:pos="0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Hashes</w:t>
      </w:r>
      <w:r w:rsidDel="00000000" w:rsidR="00000000" w:rsidRPr="00000000">
        <w:rPr>
          <w:rtl w:val="0"/>
        </w:rPr>
        <w:t xml:space="preserve">: Hashes of malicious files.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tabs>
          <w:tab w:val="left" w:leader="none" w:pos="0"/>
        </w:tabs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Signatures</w:t>
      </w:r>
      <w:r w:rsidDel="00000000" w:rsidR="00000000" w:rsidRPr="00000000">
        <w:rPr>
          <w:rtl w:val="0"/>
        </w:rPr>
        <w:t xml:space="preserve">: Behavioral signatures.</w:t>
      </w:r>
    </w:p>
    <w:p w:rsidR="00000000" w:rsidDel="00000000" w:rsidP="00000000" w:rsidRDefault="00000000" w:rsidRPr="00000000" w14:paraId="00000025">
      <w:pPr>
        <w:tabs>
          <w:tab w:val="left" w:leader="none" w:pos="0"/>
        </w:tabs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Threat Actor Capabilities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tabs>
          <w:tab w:val="left" w:leader="none" w:pos="0"/>
        </w:tabs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Technical Capabilities</w:t>
      </w:r>
      <w:r w:rsidDel="00000000" w:rsidR="00000000" w:rsidRPr="00000000">
        <w:rPr>
          <w:rtl w:val="0"/>
        </w:rPr>
        <w:t xml:space="preserve">: Skill level and resources.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tabs>
          <w:tab w:val="left" w:leader="none" w:pos="0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: Command-and-control servers, botnets, etc.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tabs>
          <w:tab w:val="left" w:leader="none" w:pos="0"/>
        </w:tabs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Operational Reach</w:t>
      </w:r>
      <w:r w:rsidDel="00000000" w:rsidR="00000000" w:rsidRPr="00000000">
        <w:rPr>
          <w:rtl w:val="0"/>
        </w:rPr>
        <w:t xml:space="preserve">: Geographical impact, industries targeted.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left="709" w:right="0" w:hanging="283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spacing w:after="0" w:before="0" w:line="240" w:lineRule="auto"/>
        <w:ind w:left="0" w:right="0" w:firstLine="0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Impact assessment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Affected Sectors</w:t>
      </w:r>
      <w:r w:rsidDel="00000000" w:rsidR="00000000" w:rsidRPr="00000000">
        <w:rPr>
          <w:rtl w:val="0"/>
        </w:rPr>
        <w:t xml:space="preserve">: Industries at risk.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Geopolitical Impact</w:t>
      </w:r>
      <w:r w:rsidDel="00000000" w:rsidR="00000000" w:rsidRPr="00000000">
        <w:rPr>
          <w:rtl w:val="0"/>
        </w:rPr>
        <w:t xml:space="preserve">: Broader implications.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Financial/Economic Impact</w:t>
      </w:r>
      <w:r w:rsidDel="00000000" w:rsidR="00000000" w:rsidRPr="00000000">
        <w:rPr>
          <w:rtl w:val="0"/>
        </w:rPr>
        <w:t xml:space="preserve">: Potential financial loss.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tabs>
          <w:tab w:val="left" w:leader="none" w:pos="0"/>
        </w:tabs>
        <w:spacing w:after="140" w:before="0" w:lineRule="auto"/>
        <w:ind w:left="720" w:hanging="283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hd w:fill="e48312" w:val="clea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Mitigation Strategies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Defensive Measures</w:t>
      </w:r>
      <w:r w:rsidDel="00000000" w:rsidR="00000000" w:rsidRPr="00000000">
        <w:rPr>
          <w:rtl w:val="0"/>
        </w:rPr>
        <w:t xml:space="preserve">: Security controls to implement.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Detection Methods</w:t>
      </w:r>
      <w:r w:rsidDel="00000000" w:rsidR="00000000" w:rsidRPr="00000000">
        <w:rPr>
          <w:rtl w:val="0"/>
        </w:rPr>
        <w:t xml:space="preserve">: How to identify this actor’s activity.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tabs>
          <w:tab w:val="left" w:leader="none" w:pos="0"/>
        </w:tabs>
        <w:spacing w:after="140" w:before="0" w:lineRule="auto"/>
        <w:ind w:left="720" w:hanging="283"/>
      </w:pPr>
      <w:r w:rsidDel="00000000" w:rsidR="00000000" w:rsidRPr="00000000">
        <w:rPr>
          <w:b w:val="1"/>
          <w:rtl w:val="0"/>
        </w:rPr>
        <w:t xml:space="preserve">Incident Response Plan</w:t>
      </w:r>
      <w:r w:rsidDel="00000000" w:rsidR="00000000" w:rsidRPr="00000000">
        <w:rPr>
          <w:rtl w:val="0"/>
        </w:rPr>
        <w:t xml:space="preserve">: Steps to take if compromised.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left="720" w:right="0" w:hanging="283"/>
        <w:jc w:val="left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hd w:fill="e48312" w:val="clear"/>
        <w:rPr>
          <w:rFonts w:ascii="Spectral" w:cs="Spectral" w:eastAsia="Spectral" w:hAnsi="Spectral"/>
          <w:color w:val="000000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color w:val="000000"/>
          <w:sz w:val="26"/>
          <w:szCs w:val="26"/>
          <w:rtl w:val="0"/>
        </w:rPr>
        <w:t xml:space="preserve">Report contributors &amp; sources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720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Author(s):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Names, titles, and roles of those who prepared the report.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276" w:lineRule="auto"/>
        <w:ind w:left="720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Reviewers: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Names, titles, and roles of those who reviewed the report.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left="720" w:right="0" w:hanging="28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Acknowledgements: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Any </w:t>
      </w:r>
      <w:r w:rsidDel="00000000" w:rsidR="00000000" w:rsidRPr="00000000">
        <w:rPr>
          <w:rtl w:val="0"/>
        </w:rPr>
        <w:t xml:space="preserve">sources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or supporting teams.</w:t>
      </w:r>
    </w:p>
    <w:sectPr>
      <w:footerReference r:id="rId8" w:type="default"/>
      <w:pgSz w:h="15840" w:w="12240" w:orient="portrait"/>
      <w:pgMar w:bottom="921" w:top="720" w:left="1440" w:right="1440" w:header="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MathJax_Typewriter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keepNext w:val="0"/>
      <w:keepLines w:val="0"/>
      <w:widowControl w:val="1"/>
      <w:spacing w:after="0" w:before="200" w:line="240" w:lineRule="auto"/>
      <w:ind w:left="-144" w:right="0" w:firstLine="0"/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"/>
      <w:lvlJc w:val="left"/>
      <w:pPr>
        <w:ind w:left="709" w:hanging="282.9999999999999"/>
      </w:pPr>
      <w:rPr/>
    </w:lvl>
    <w:lvl w:ilvl="1">
      <w:start w:val="1"/>
      <w:numFmt w:val="bullet"/>
      <w:lvlText w:val=""/>
      <w:lvlJc w:val="left"/>
      <w:pPr>
        <w:ind w:left="1418" w:hanging="282.9999999999998"/>
      </w:pPr>
      <w:rPr/>
    </w:lvl>
    <w:lvl w:ilvl="2">
      <w:start w:val="1"/>
      <w:numFmt w:val="bullet"/>
      <w:lvlText w:val=""/>
      <w:lvlJc w:val="left"/>
      <w:pPr>
        <w:ind w:left="2127" w:hanging="283.0000000000002"/>
      </w:pPr>
      <w:rPr/>
    </w:lvl>
    <w:lvl w:ilvl="3">
      <w:start w:val="1"/>
      <w:numFmt w:val="bullet"/>
      <w:lvlText w:val=""/>
      <w:lvlJc w:val="left"/>
      <w:pPr>
        <w:ind w:left="2836" w:hanging="283"/>
      </w:pPr>
      <w:rPr/>
    </w:lvl>
    <w:lvl w:ilvl="4">
      <w:start w:val="1"/>
      <w:numFmt w:val="bullet"/>
      <w:lvlText w:val=""/>
      <w:lvlJc w:val="left"/>
      <w:pPr>
        <w:ind w:left="3545" w:hanging="283"/>
      </w:pPr>
      <w:rPr/>
    </w:lvl>
    <w:lvl w:ilvl="5">
      <w:start w:val="1"/>
      <w:numFmt w:val="bullet"/>
      <w:lvlText w:val=""/>
      <w:lvlJc w:val="left"/>
      <w:pPr>
        <w:ind w:left="4254" w:hanging="283.00000000000045"/>
      </w:pPr>
      <w:rPr/>
    </w:lvl>
    <w:lvl w:ilvl="6">
      <w:start w:val="1"/>
      <w:numFmt w:val="bullet"/>
      <w:lvlText w:val=""/>
      <w:lvlJc w:val="left"/>
      <w:pPr>
        <w:ind w:left="4963" w:hanging="283"/>
      </w:pPr>
      <w:rPr/>
    </w:lvl>
    <w:lvl w:ilvl="7">
      <w:start w:val="1"/>
      <w:numFmt w:val="bullet"/>
      <w:lvlText w:val=""/>
      <w:lvlJc w:val="left"/>
      <w:pPr>
        <w:ind w:left="5672" w:hanging="282.9999999999991"/>
      </w:pPr>
      <w:rPr/>
    </w:lvl>
    <w:lvl w:ilvl="8">
      <w:start w:val="1"/>
      <w:numFmt w:val="bullet"/>
      <w:lvlText w:val=""/>
      <w:lvlJc w:val="left"/>
      <w:pPr>
        <w:ind w:left="6381" w:hanging="282.9999999999991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ind w:left="720" w:hanging="283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ind w:left="709" w:hanging="282.9999999999999"/>
      </w:pPr>
      <w:rPr/>
    </w:lvl>
    <w:lvl w:ilvl="1">
      <w:start w:val="1"/>
      <w:numFmt w:val="bullet"/>
      <w:lvlText w:val=""/>
      <w:lvlJc w:val="left"/>
      <w:pPr>
        <w:ind w:left="1418" w:hanging="282.9999999999998"/>
      </w:pPr>
      <w:rPr/>
    </w:lvl>
    <w:lvl w:ilvl="2">
      <w:start w:val="1"/>
      <w:numFmt w:val="bullet"/>
      <w:lvlText w:val=""/>
      <w:lvlJc w:val="left"/>
      <w:pPr>
        <w:ind w:left="2127" w:hanging="283.0000000000002"/>
      </w:pPr>
      <w:rPr/>
    </w:lvl>
    <w:lvl w:ilvl="3">
      <w:start w:val="1"/>
      <w:numFmt w:val="bullet"/>
      <w:lvlText w:val=""/>
      <w:lvlJc w:val="left"/>
      <w:pPr>
        <w:ind w:left="2836" w:hanging="283"/>
      </w:pPr>
      <w:rPr/>
    </w:lvl>
    <w:lvl w:ilvl="4">
      <w:start w:val="1"/>
      <w:numFmt w:val="bullet"/>
      <w:lvlText w:val=""/>
      <w:lvlJc w:val="left"/>
      <w:pPr>
        <w:ind w:left="3545" w:hanging="283"/>
      </w:pPr>
      <w:rPr/>
    </w:lvl>
    <w:lvl w:ilvl="5">
      <w:start w:val="1"/>
      <w:numFmt w:val="bullet"/>
      <w:lvlText w:val=""/>
      <w:lvlJc w:val="left"/>
      <w:pPr>
        <w:ind w:left="4254" w:hanging="283.00000000000045"/>
      </w:pPr>
      <w:rPr/>
    </w:lvl>
    <w:lvl w:ilvl="6">
      <w:start w:val="1"/>
      <w:numFmt w:val="bullet"/>
      <w:lvlText w:val=""/>
      <w:lvlJc w:val="left"/>
      <w:pPr>
        <w:ind w:left="4963" w:hanging="283"/>
      </w:pPr>
      <w:rPr/>
    </w:lvl>
    <w:lvl w:ilvl="7">
      <w:start w:val="1"/>
      <w:numFmt w:val="bullet"/>
      <w:lvlText w:val=""/>
      <w:lvlJc w:val="left"/>
      <w:pPr>
        <w:ind w:left="5672" w:hanging="282.9999999999991"/>
      </w:pPr>
      <w:rPr/>
    </w:lvl>
    <w:lvl w:ilvl="8">
      <w:start w:val="1"/>
      <w:numFmt w:val="bullet"/>
      <w:lvlText w:val=""/>
      <w:lvlJc w:val="left"/>
      <w:pPr>
        <w:ind w:left="6381" w:hanging="282.9999999999991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-US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color="e48312" w:space="0" w:sz="24" w:val="single"/>
        <w:left w:color="e48312" w:space="0" w:sz="24" w:val="single"/>
        <w:bottom w:color="e48312" w:space="0" w:sz="24" w:val="single"/>
        <w:right w:color="e48312" w:space="0" w:sz="24" w:val="single"/>
        <w:between w:space="0" w:sz="0" w:val="nil"/>
      </w:pBdr>
      <w:shd w:fill="e48312" w:val="clear"/>
      <w:spacing w:after="0" w:before="0" w:line="240" w:lineRule="auto"/>
      <w:ind w:left="-1354" w:right="-1440" w:firstLine="1354"/>
      <w:jc w:val="left"/>
    </w:pPr>
    <w:rPr>
      <w:rFonts w:ascii="Calibri" w:cs="Calibri" w:eastAsia="Calibri" w:hAnsi="Calibri"/>
      <w:b w:val="1"/>
      <w:i w:val="0"/>
      <w:smallCaps w:val="1"/>
      <w:strike w:val="0"/>
      <w:color w:val="ffffff"/>
      <w:sz w:val="22"/>
      <w:szCs w:val="2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e48312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1"/>
      <w:pBdr>
        <w:top w:color="e48312" w:space="2" w:sz="6" w:val="single"/>
        <w:left w:color="e48312" w:space="2" w:sz="6" w:val="single"/>
        <w:bottom w:space="0" w:sz="0" w:val="nil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714109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1"/>
      <w:pBdr>
        <w:top w:color="e48312" w:space="2" w:sz="6" w:val="dotted"/>
        <w:left w:color="e48312" w:space="2" w:sz="6" w:val="dotted"/>
        <w:bottom w:space="0" w:sz="0" w:val="nil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aa610d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e48312" w:space="1" w:sz="6" w:val="single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aa610d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e48312" w:space="1" w:sz="6" w:val="dotted"/>
        <w:right w:space="0" w:sz="0" w:val="nil"/>
        <w:between w:space="0" w:sz="0" w:val="nil"/>
      </w:pBdr>
      <w:shd w:fill="auto" w:val="clear"/>
      <w:spacing w:after="0" w:before="30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1"/>
      <w:strike w:val="0"/>
      <w:color w:val="aa610d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1"/>
      <w:strike w:val="0"/>
      <w:color w:val="ffffff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0" w:line="240" w:lineRule="auto"/>
      <w:ind w:left="0" w:right="0" w:firstLine="0"/>
      <w:jc w:val="center"/>
    </w:pPr>
    <w:rPr>
      <w:rFonts w:ascii="Calibri" w:cs="Calibri" w:eastAsia="Calibri" w:hAnsi="Calibri"/>
      <w:b w:val="0"/>
      <w:i w:val="0"/>
      <w:smallCaps w:val="1"/>
      <w:strike w:val="0"/>
      <w:color w:val="e48312"/>
      <w:sz w:val="24"/>
      <w:szCs w:val="24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