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55555"/>
          <w:sz w:val="22"/>
        </w:rPr>
        <w:t>DIAL IN — COFFEE COACH</w:t>
      </w:r>
    </w:p>
    <w:p/>
    <w:p>
      <w:pPr>
        <w:jc w:val="center"/>
      </w:pPr>
      <w:r>
        <w:rPr>
          <w:b/>
          <w:color w:val="2C1A0E"/>
          <w:sz w:val="56"/>
        </w:rPr>
        <w:t>Market Domination Strategy</w:t>
      </w:r>
    </w:p>
    <w:p>
      <w:pPr>
        <w:jc w:val="center"/>
      </w:pPr>
      <w:r>
        <w:rPr>
          <w:i/>
          <w:color w:val="C8A97A"/>
          <w:sz w:val="28"/>
        </w:rPr>
        <w:t>A Game-Theoretic Approach to Capturing</w:t>
        <w:br/>
        <w:t>the Specialty Coffee Coaching Market</w:t>
      </w:r>
    </w:p>
    <w:p/>
    <w:p/>
    <w:p>
      <w:pPr>
        <w:jc w:val="center"/>
      </w:pPr>
      <w:r>
        <w:rPr>
          <w:color w:val="555555"/>
          <w:sz w:val="20"/>
        </w:rPr>
        <w:t>Confidential · June 2026</w:t>
      </w:r>
    </w:p>
    <w:p>
      <w:r>
        <w:br w:type="page"/>
      </w:r>
    </w:p>
    <w:p>
      <w:pPr>
        <w:spacing w:before="360" w:after="120"/>
      </w:pPr>
      <w:r>
        <w:rPr>
          <w:b/>
          <w:color w:val="2C1A0E"/>
          <w:sz w:val="32"/>
        </w:rPr>
        <w:t>Executive Summary</w:t>
      </w:r>
    </w:p>
    <w:p>
      <w:pPr>
        <w:spacing w:after="120"/>
      </w:pPr>
      <w:r>
        <w:rPr>
          <w:color w:val="1A1A1A"/>
          <w:sz w:val="21"/>
        </w:rPr>
        <w:t>Dial In operates in a nascent, high-passion niche with no dominant AI coaching competitor. A 12–18 month window exists to establish an unassailable market position before well-funded competitors enter. This document applies game theory to identify the dominant strategy sequence that maximises market share, converts users from existing free apps, and builds defensible moats.</w:t>
      </w:r>
    </w:p>
    <w:p>
      <w:pPr>
        <w:spacing w:before="160" w:after="160"/>
        <w:ind w:left="432" w:right="432"/>
        <w:shd w:val="clear" w:color="auto" w:fill="FFF2CC"/>
      </w:pPr>
      <w:r>
        <w:rPr>
          <w:b/>
          <w:color w:val="2C1A0E"/>
          <w:sz w:val="21"/>
        </w:rPr>
        <w:t xml:space="preserve">  The window is 12–18 months. Every strategic move below is evaluated against two scenarios: no serious competitor enters, and a VC-backed competitor enters in 12 months. The dominant strategy wins in both.  </w:t>
      </w:r>
    </w:p>
    <w:p>
      <w:pPr>
        <w:spacing w:before="360" w:after="120"/>
      </w:pPr>
      <w:r>
        <w:rPr>
          <w:b/>
          <w:color w:val="2C1A0E"/>
          <w:sz w:val="32"/>
        </w:rPr>
        <w:t>Market Context</w:t>
      </w:r>
    </w:p>
    <w:p>
      <w:pPr>
        <w:spacing w:before="280" w:after="80"/>
      </w:pPr>
      <w:r>
        <w:rPr>
          <w:b/>
          <w:color w:val="C8A97A"/>
          <w:sz w:val="24"/>
        </w:rPr>
        <w:t>Addressable Market</w:t>
      </w:r>
    </w:p>
    <w:p>
      <w:pPr>
        <w:pStyle w:val="ListBullet"/>
        <w:spacing w:after="80"/>
      </w:pPr>
      <w:r>
        <w:rPr>
          <w:color w:val="1A1A1A"/>
          <w:sz w:val="21"/>
        </w:rPr>
        <w:t>~3–5 million home espresso owners in the US with equipment worth coaching</w:t>
      </w:r>
    </w:p>
    <w:p>
      <w:pPr>
        <w:pStyle w:val="ListBullet"/>
        <w:spacing w:after="80"/>
      </w:pPr>
      <w:r>
        <w:rPr>
          <w:color w:val="1A1A1A"/>
          <w:sz w:val="21"/>
        </w:rPr>
        <w:t>~10–15 million globally (Europe — UK, Italy, Nordics — is disproportionately large)</w:t>
      </w:r>
    </w:p>
    <w:p>
      <w:pPr>
        <w:pStyle w:val="ListBullet"/>
        <w:spacing w:after="80"/>
      </w:pPr>
      <w:r>
        <w:rPr>
          <w:color w:val="1A1A1A"/>
          <w:sz w:val="21"/>
        </w:rPr>
        <w:t>Willing-to-pay subset (~5–10%): 500,000–1,500,000 users globally</w:t>
      </w:r>
    </w:p>
    <w:p>
      <w:pPr>
        <w:pStyle w:val="ListBullet"/>
        <w:spacing w:after="80"/>
      </w:pPr>
      <w:r>
        <w:rPr>
          <w:color w:val="1A1A1A"/>
          <w:sz w:val="21"/>
        </w:rPr>
        <w:t>At $4.99/month, 25,000 Pro subscribers = $1.5M ARR and ~2–5% total market penetration</w:t>
      </w:r>
    </w:p>
    <w:p>
      <w:pPr>
        <w:spacing w:before="280" w:after="80"/>
      </w:pPr>
      <w:r>
        <w:rPr>
          <w:b/>
          <w:color w:val="C8A97A"/>
          <w:sz w:val="24"/>
        </w:rPr>
        <w:t>Competitive Landscape</w:t>
      </w:r>
    </w:p>
    <w:p>
      <w:pPr>
        <w:spacing w:after="120"/>
      </w:pPr>
      <w:r>
        <w:rPr>
          <w:color w:val="1A1A1A"/>
          <w:sz w:val="21"/>
        </w:rPr>
        <w:t>There is currently no direct AI coaching competitor. Existing substitutes are free shot loggers with no diagnostic capability:</w:t>
      </w:r>
    </w:p>
    <w:p>
      <w:pPr>
        <w:pStyle w:val="ListBullet"/>
        <w:spacing w:after="80"/>
      </w:pPr>
      <w:r>
        <w:rPr>
          <w:color w:val="1A1A1A"/>
          <w:sz w:val="21"/>
        </w:rPr>
        <w:t>Beanconqueror — free, open source, logging only</w:t>
      </w:r>
    </w:p>
    <w:p>
      <w:pPr>
        <w:pStyle w:val="ListBullet"/>
        <w:spacing w:after="80"/>
      </w:pPr>
      <w:r>
        <w:rPr>
          <w:color w:val="1A1A1A"/>
          <w:sz w:val="21"/>
        </w:rPr>
        <w:t>Shot Bot — free, basic logging</w:t>
      </w:r>
    </w:p>
    <w:p>
      <w:pPr>
        <w:pStyle w:val="ListBullet"/>
        <w:spacing w:after="80"/>
      </w:pPr>
      <w:r>
        <w:rPr>
          <w:color w:val="1A1A1A"/>
          <w:sz w:val="21"/>
        </w:rPr>
        <w:t>Espresso Fun — free, no AI</w:t>
      </w:r>
    </w:p>
    <w:p>
      <w:pPr>
        <w:pStyle w:val="ListBullet"/>
        <w:spacing w:after="80"/>
      </w:pPr>
      <w:r>
        <w:rPr>
          <w:color w:val="1A1A1A"/>
          <w:sz w:val="21"/>
        </w:rPr>
        <w:t>Decent Espresso app — hardware-locked ($2,000+ machines), different audience</w:t>
      </w:r>
    </w:p>
    <w:p>
      <w:pPr>
        <w:spacing w:after="120"/>
      </w:pPr>
      <w:r>
        <w:rPr>
          <w:color w:val="1A1A1A"/>
          <w:sz w:val="21"/>
        </w:rPr>
        <w:t>This open field is a limited-time opportunity. The analysis below assumes a credible competitor enters within 12–18 months of Dial In showing public traction.</w:t>
      </w:r>
    </w:p>
    <w:p>
      <w:pPr>
        <w:spacing w:before="360" w:after="120"/>
      </w:pPr>
      <w:r>
        <w:rPr>
          <w:b/>
          <w:color w:val="2C1A0E"/>
          <w:sz w:val="32"/>
        </w:rPr>
        <w:t>The Core Game-Theoretic Framework</w:t>
      </w:r>
    </w:p>
    <w:p>
      <w:pPr>
        <w:spacing w:before="280" w:after="80"/>
      </w:pPr>
      <w:r>
        <w:rPr>
          <w:b/>
          <w:color w:val="C8A97A"/>
          <w:sz w:val="24"/>
        </w:rPr>
        <w:t>The Pre-emption Race</w:t>
      </w:r>
    </w:p>
    <w:p>
      <w:pPr>
        <w:spacing w:after="120"/>
      </w:pPr>
      <w:r>
        <w:rPr>
          <w:color w:val="1A1A1A"/>
          <w:sz w:val="21"/>
        </w:rPr>
        <w:t>The fundamental structure is a pre-emption game: moving fast and decisively now changes the payoff structure of the game permanently. An established Schelling point, data moat, and community make late entry by a competitor dramatically more expensive.</w:t>
      </w:r>
    </w:p>
    <w:p/>
    <w:tbl>
      <w:tblPr>
        <w:tblStyle w:val="TableGrid"/>
        <w:tblW w:type="auto" w:w="0"/>
        <w:jc w:val="center"/>
        <w:tblLook w:firstColumn="1" w:firstRow="1" w:lastColumn="0" w:lastRow="0" w:noHBand="0" w:noVBand="1" w:val="04A0"/>
      </w:tblPr>
      <w:tblGrid>
        <w:gridCol w:w="2976"/>
        <w:gridCol w:w="2976"/>
        <w:gridCol w:w="2976"/>
      </w:tblGrid>
      <w:tr>
        <w:tc>
          <w:tcPr>
            <w:tcW w:type="dxa" w:w="2976"/>
            <w:shd w:val="clear" w:color="auto" w:fill="2C1A0E"/>
            <w:vAlign w:val="center"/>
          </w:tcPr>
          <w:p>
            <w:pPr>
              <w:jc w:val="center"/>
            </w:pPr>
            <w:r>
              <w:rPr>
                <w:b/>
                <w:color w:val="FFFFF2"/>
                <w:sz w:val="20"/>
              </w:rPr>
            </w:r>
          </w:p>
        </w:tc>
        <w:tc>
          <w:tcPr>
            <w:tcW w:type="dxa" w:w="2976"/>
            <w:shd w:val="clear" w:color="auto" w:fill="2C1A0E"/>
            <w:vAlign w:val="center"/>
          </w:tcPr>
          <w:p>
            <w:pPr>
              <w:jc w:val="center"/>
            </w:pPr>
            <w:r>
              <w:rPr>
                <w:b/>
                <w:color w:val="FFFFF2"/>
                <w:sz w:val="20"/>
              </w:rPr>
              <w:t>No Competitor Enters</w:t>
            </w:r>
          </w:p>
        </w:tc>
        <w:tc>
          <w:tcPr>
            <w:tcW w:type="dxa" w:w="2976"/>
            <w:shd w:val="clear" w:color="auto" w:fill="2C1A0E"/>
            <w:vAlign w:val="center"/>
          </w:tcPr>
          <w:p>
            <w:pPr>
              <w:jc w:val="center"/>
            </w:pPr>
            <w:r>
              <w:rPr>
                <w:b/>
                <w:color w:val="FFFFF2"/>
                <w:sz w:val="20"/>
              </w:rPr>
              <w:t>Competitor Enters (12 mo)</w:t>
            </w:r>
          </w:p>
        </w:tc>
      </w:tr>
      <w:tr>
        <w:tc>
          <w:tcPr>
            <w:tcW w:type="dxa" w:w="2976"/>
            <w:shd w:val="clear" w:color="auto" w:fill="F5F0EB"/>
          </w:tcPr>
          <w:p>
            <w:r>
              <w:rPr>
                <w:b/>
                <w:sz w:val="20"/>
              </w:rPr>
              <w:t>Aggressive growth (recommended)</w:t>
            </w:r>
          </w:p>
        </w:tc>
        <w:tc>
          <w:tcPr>
            <w:tcW w:type="dxa" w:w="2976"/>
            <w:shd w:val="clear" w:color="auto" w:fill="D9EAD3"/>
          </w:tcPr>
          <w:p>
            <w:r>
              <w:rPr>
                <w:sz w:val="20"/>
              </w:rPr>
              <w:t>Best outcome: own the market</w:t>
            </w:r>
          </w:p>
        </w:tc>
        <w:tc>
          <w:tcPr>
            <w:tcW w:type="dxa" w:w="2976"/>
            <w:shd w:val="clear" w:color="auto" w:fill="D9EAD3"/>
          </w:tcPr>
          <w:p>
            <w:r>
              <w:rPr>
                <w:sz w:val="20"/>
              </w:rPr>
              <w:t>Good outcome: established before they arrive</w:t>
            </w:r>
          </w:p>
        </w:tc>
      </w:tr>
      <w:tr>
        <w:tc>
          <w:tcPr>
            <w:tcW w:type="dxa" w:w="2976"/>
            <w:shd w:val="clear" w:color="auto" w:fill="F5F0EB"/>
          </w:tcPr>
          <w:p>
            <w:r>
              <w:rPr>
                <w:b/>
                <w:sz w:val="20"/>
              </w:rPr>
              <w:t>Conservative growth</w:t>
            </w:r>
          </w:p>
        </w:tc>
        <w:tc>
          <w:tcPr>
            <w:tcW w:type="dxa" w:w="2976"/>
            <w:shd w:val="clear" w:color="auto" w:fill="FFF2CC"/>
          </w:tcPr>
          <w:p>
            <w:r>
              <w:rPr>
                <w:sz w:val="20"/>
              </w:rPr>
              <w:t>Good outcome: profitable but small</w:t>
            </w:r>
          </w:p>
        </w:tc>
        <w:tc>
          <w:tcPr>
            <w:tcW w:type="dxa" w:w="2976"/>
            <w:shd w:val="clear" w:color="auto" w:fill="F4CCCC"/>
          </w:tcPr>
          <w:p>
            <w:r>
              <w:rPr>
                <w:sz w:val="20"/>
              </w:rPr>
              <w:t>Worst outcome: ceded market to better-funded rival</w:t>
            </w:r>
          </w:p>
        </w:tc>
      </w:tr>
    </w:tbl>
    <w:p/>
    <w:p>
      <w:pPr>
        <w:spacing w:after="120"/>
      </w:pPr>
      <w:r>
        <w:rPr>
          <w:color w:val="1A1A1A"/>
          <w:sz w:val="21"/>
        </w:rPr>
        <w:t>Aggressive growth is a dominant strategy — it produces the best or equal outcome regardless of what competitors do. The question is not whether to be aggressive, but how.</w:t>
      </w:r>
    </w:p>
    <w:p>
      <w:pPr>
        <w:spacing w:before="360" w:after="120"/>
      </w:pPr>
      <w:r>
        <w:rPr>
          <w:b/>
          <w:color w:val="2C1A0E"/>
          <w:sz w:val="32"/>
        </w:rPr>
        <w:t>Move 1: Win the Influencer Coordination Game</w:t>
      </w:r>
    </w:p>
    <w:p>
      <w:pPr>
        <w:spacing w:before="280" w:after="80"/>
      </w:pPr>
      <w:r>
        <w:rPr>
          <w:b/>
          <w:color w:val="C8A97A"/>
          <w:sz w:val="24"/>
        </w:rPr>
        <w:t>The Schelling Point Strategy</w:t>
      </w:r>
    </w:p>
    <w:p>
      <w:pPr>
        <w:spacing w:after="120"/>
      </w:pPr>
      <w:r>
        <w:rPr>
          <w:color w:val="1A1A1A"/>
          <w:sz w:val="21"/>
        </w:rPr>
        <w:t>In coordination games, when people need to pick a default without communicating, they converge on a focal point — the obvious answer. Right now there is no obvious answer to 'what AI coffee coaching app should I use?' Dial In must become that focal point before any competitor does.</w:t>
      </w:r>
    </w:p>
    <w:p>
      <w:pPr>
        <w:spacing w:after="120"/>
      </w:pPr>
      <w:r>
        <w:rPr>
          <w:color w:val="1A1A1A"/>
          <w:sz w:val="21"/>
        </w:rPr>
        <w:t>The mechanism: get James Hoffmann, Lance Hedrick, and Sprometheus to all recommend Dial In within a 30-day window. When the top 3 voices in the space all point at the same product simultaneously, it stops being a recommendation and becomes a consensus. The rest of the market follows consensus, not individual reviews.</w:t>
      </w:r>
    </w:p>
    <w:p>
      <w:pPr>
        <w:spacing w:before="160" w:after="160"/>
        <w:ind w:left="432" w:right="432"/>
        <w:shd w:val="clear" w:color="auto" w:fill="FFF2CC"/>
      </w:pPr>
      <w:r>
        <w:rPr>
          <w:b/>
          <w:color w:val="2C1A0E"/>
          <w:sz w:val="21"/>
        </w:rPr>
        <w:t xml:space="preserve">  A simultaneous endorsement from 3 Tier 1 creators could deliver 20–50k downloads in a single month and establish the Schelling point permanently — before any competitor has users.  </w:t>
      </w:r>
    </w:p>
    <w:p>
      <w:pPr>
        <w:spacing w:before="280" w:after="80"/>
      </w:pPr>
      <w:r>
        <w:rPr>
          <w:b/>
          <w:color w:val="C8A97A"/>
          <w:sz w:val="24"/>
        </w:rPr>
        <w:t>Execution: Founding Affiliate Program</w:t>
      </w:r>
    </w:p>
    <w:p>
      <w:pPr>
        <w:pStyle w:val="ListBullet"/>
        <w:spacing w:after="80"/>
      </w:pPr>
      <w:r>
        <w:rPr>
          <w:b/>
          <w:color w:val="2C1A0E"/>
          <w:sz w:val="21"/>
        </w:rPr>
        <w:t xml:space="preserve">$2.00/month recurring per referred Pro subscriber (Phase 1) </w:t>
      </w:r>
      <w:r>
        <w:rPr>
          <w:color w:val="1A1A1A"/>
          <w:sz w:val="21"/>
        </w:rPr>
        <w:t>Launch rate:</w:t>
      </w:r>
    </w:p>
    <w:p>
      <w:pPr>
        <w:pStyle w:val="ListBullet"/>
        <w:spacing w:after="80"/>
      </w:pPr>
      <w:r>
        <w:rPr>
          <w:b/>
          <w:color w:val="2C1A0E"/>
          <w:sz w:val="21"/>
        </w:rPr>
        <w:t xml:space="preserve">$2.50–$3.00 or a flat signing bonus for launch-window exclusivity </w:t>
      </w:r>
      <w:r>
        <w:rPr>
          <w:color w:val="1A1A1A"/>
          <w:sz w:val="21"/>
        </w:rPr>
        <w:t>Tier 1 founders deal:</w:t>
      </w:r>
    </w:p>
    <w:p>
      <w:pPr>
        <w:pStyle w:val="ListBullet"/>
        <w:spacing w:after="80"/>
      </w:pPr>
      <w:r>
        <w:rPr>
          <w:b/>
          <w:color w:val="2C1A0E"/>
          <w:sz w:val="21"/>
        </w:rPr>
        <w:t xml:space="preserve">target a single 30-day launch window where all Tier 1 partners publish simultaneously </w:t>
      </w:r>
      <w:r>
        <w:rPr>
          <w:color w:val="1A1A1A"/>
          <w:sz w:val="21"/>
        </w:rPr>
        <w:t>The coordination window:</w:t>
      </w:r>
    </w:p>
    <w:p>
      <w:pPr>
        <w:pStyle w:val="ListBullet"/>
        <w:spacing w:after="80"/>
      </w:pPr>
      <w:r>
        <w:rPr>
          <w:b/>
          <w:color w:val="2C1A0E"/>
          <w:sz w:val="21"/>
        </w:rPr>
        <w:t xml:space="preserve">if a competitor offers $2 commissions 6 months later, creators are already locked in by relationship and revenue </w:t>
      </w:r>
      <w:r>
        <w:rPr>
          <w:color w:val="1A1A1A"/>
          <w:sz w:val="21"/>
        </w:rPr>
        <w:t>Why exclusivity matters:</w:t>
      </w:r>
    </w:p>
    <w:p>
      <w:pPr>
        <w:spacing w:before="280" w:after="80"/>
      </w:pPr>
      <w:r>
        <w:rPr>
          <w:b/>
          <w:color w:val="C8A97A"/>
          <w:sz w:val="24"/>
        </w:rPr>
        <w:t>Commission Phase-Down Schedule</w:t>
      </w:r>
    </w:p>
    <w:p>
      <w:pPr>
        <w:spacing w:after="120"/>
      </w:pPr>
      <w:r>
        <w:rPr>
          <w:color w:val="1A1A1A"/>
          <w:sz w:val="21"/>
        </w:rPr>
        <w:t>Higher launch commissions attract early advocates. Step down as the program becomes self-sustaining:</w:t>
      </w:r>
    </w:p>
    <w:tbl>
      <w:tblPr>
        <w:tblStyle w:val="TableGrid"/>
        <w:tblW w:type="auto" w:w="0"/>
        <w:jc w:val="center"/>
        <w:tblLook w:firstColumn="1" w:firstRow="1" w:lastColumn="0" w:lastRow="0" w:noHBand="0" w:noVBand="1" w:val="04A0"/>
      </w:tblPr>
      <w:tblGrid>
        <w:gridCol w:w="2232"/>
        <w:gridCol w:w="2232"/>
        <w:gridCol w:w="2232"/>
        <w:gridCol w:w="2232"/>
      </w:tblGrid>
      <w:tr>
        <w:tc>
          <w:tcPr>
            <w:tcW w:type="dxa" w:w="2232"/>
            <w:shd w:val="clear" w:color="auto" w:fill="2C1A0E"/>
          </w:tcPr>
          <w:p>
            <w:pPr>
              <w:jc w:val="center"/>
            </w:pPr>
            <w:r>
              <w:rPr>
                <w:b/>
                <w:color w:val="FFFFF2"/>
                <w:sz w:val="20"/>
              </w:rPr>
              <w:t>Phase</w:t>
            </w:r>
          </w:p>
        </w:tc>
        <w:tc>
          <w:tcPr>
            <w:tcW w:type="dxa" w:w="2232"/>
            <w:shd w:val="clear" w:color="auto" w:fill="2C1A0E"/>
          </w:tcPr>
          <w:p>
            <w:pPr>
              <w:jc w:val="center"/>
            </w:pPr>
            <w:r>
              <w:rPr>
                <w:b/>
                <w:color w:val="FFFFF2"/>
                <w:sz w:val="20"/>
              </w:rPr>
              <w:t>Rate</w:t>
            </w:r>
          </w:p>
        </w:tc>
        <w:tc>
          <w:tcPr>
            <w:tcW w:type="dxa" w:w="2232"/>
            <w:shd w:val="clear" w:color="auto" w:fill="2C1A0E"/>
          </w:tcPr>
          <w:p>
            <w:pPr>
              <w:jc w:val="center"/>
            </w:pPr>
            <w:r>
              <w:rPr>
                <w:b/>
                <w:color w:val="FFFFF2"/>
                <w:sz w:val="20"/>
              </w:rPr>
              <w:t>Trigger (Pro Subscribers)</w:t>
            </w:r>
          </w:p>
        </w:tc>
        <w:tc>
          <w:tcPr>
            <w:tcW w:type="dxa" w:w="2232"/>
            <w:shd w:val="clear" w:color="auto" w:fill="2C1A0E"/>
          </w:tcPr>
          <w:p>
            <w:pPr>
              <w:jc w:val="center"/>
            </w:pPr>
            <w:r>
              <w:rPr>
                <w:b/>
                <w:color w:val="FFFFF2"/>
                <w:sz w:val="20"/>
              </w:rPr>
              <w:t>Rationale</w:t>
            </w:r>
          </w:p>
        </w:tc>
      </w:tr>
      <w:tr>
        <w:tc>
          <w:tcPr>
            <w:tcW w:type="dxa" w:w="2232"/>
            <w:shd w:val="clear" w:color="auto" w:fill="FFF2CC"/>
          </w:tcPr>
          <w:p>
            <w:r>
              <w:rPr>
                <w:b/>
                <w:sz w:val="20"/>
              </w:rPr>
              <w:t>1 — Launch</w:t>
            </w:r>
          </w:p>
        </w:tc>
        <w:tc>
          <w:tcPr>
            <w:tcW w:type="dxa" w:w="2232"/>
            <w:shd w:val="clear" w:color="auto" w:fill="FFF2CC"/>
          </w:tcPr>
          <w:p>
            <w:r>
              <w:rPr>
                <w:sz w:val="20"/>
              </w:rPr>
              <w:t>$2.00 / mo</w:t>
            </w:r>
          </w:p>
        </w:tc>
        <w:tc>
          <w:tcPr>
            <w:tcW w:type="dxa" w:w="2232"/>
            <w:shd w:val="clear" w:color="auto" w:fill="FFF2CC"/>
          </w:tcPr>
          <w:p>
            <w:r>
              <w:rPr>
                <w:sz w:val="20"/>
              </w:rPr>
              <w:t>Day 1</w:t>
            </w:r>
          </w:p>
        </w:tc>
        <w:tc>
          <w:tcPr>
            <w:tcW w:type="dxa" w:w="2232"/>
            <w:shd w:val="clear" w:color="auto" w:fill="FFF2CC"/>
          </w:tcPr>
          <w:p>
            <w:r>
              <w:rPr>
                <w:sz w:val="20"/>
              </w:rPr>
              <w:t>Maximum incentive to activate Tier 1 &amp; 2 creators</w:t>
            </w:r>
          </w:p>
        </w:tc>
      </w:tr>
      <w:tr>
        <w:tc>
          <w:tcPr>
            <w:tcW w:type="dxa" w:w="2232"/>
            <w:shd w:val="clear" w:color="auto" w:fill="FFF9E6"/>
          </w:tcPr>
          <w:p>
            <w:r>
              <w:rPr>
                <w:b/>
                <w:sz w:val="20"/>
              </w:rPr>
              <w:t>2</w:t>
            </w:r>
          </w:p>
        </w:tc>
        <w:tc>
          <w:tcPr>
            <w:tcW w:type="dxa" w:w="2232"/>
            <w:shd w:val="clear" w:color="auto" w:fill="FFF9E6"/>
          </w:tcPr>
          <w:p>
            <w:r>
              <w:rPr>
                <w:sz w:val="20"/>
              </w:rPr>
              <w:t>$1.75 / mo</w:t>
            </w:r>
          </w:p>
        </w:tc>
        <w:tc>
          <w:tcPr>
            <w:tcW w:type="dxa" w:w="2232"/>
            <w:shd w:val="clear" w:color="auto" w:fill="FFF9E6"/>
          </w:tcPr>
          <w:p>
            <w:r>
              <w:rPr>
                <w:sz w:val="20"/>
              </w:rPr>
              <w:t>3,000</w:t>
            </w:r>
          </w:p>
        </w:tc>
        <w:tc>
          <w:tcPr>
            <w:tcW w:type="dxa" w:w="2232"/>
            <w:shd w:val="clear" w:color="auto" w:fill="FFF9E6"/>
          </w:tcPr>
          <w:p>
            <w:r>
              <w:rPr>
                <w:sz w:val="20"/>
              </w:rPr>
              <w:t>PMF proven; organic WOM starting</w:t>
            </w:r>
          </w:p>
        </w:tc>
      </w:tr>
      <w:tr>
        <w:tc>
          <w:tcPr>
            <w:tcW w:type="dxa" w:w="2232"/>
            <w:shd w:val="clear" w:color="auto" w:fill="EBF3FB"/>
          </w:tcPr>
          <w:p>
            <w:r>
              <w:rPr>
                <w:b/>
                <w:sz w:val="20"/>
              </w:rPr>
              <w:t>3</w:t>
            </w:r>
          </w:p>
        </w:tc>
        <w:tc>
          <w:tcPr>
            <w:tcW w:type="dxa" w:w="2232"/>
            <w:shd w:val="clear" w:color="auto" w:fill="EBF3FB"/>
          </w:tcPr>
          <w:p>
            <w:r>
              <w:rPr>
                <w:sz w:val="20"/>
              </w:rPr>
              <w:t>$1.50 / mo</w:t>
            </w:r>
          </w:p>
        </w:tc>
        <w:tc>
          <w:tcPr>
            <w:tcW w:type="dxa" w:w="2232"/>
            <w:shd w:val="clear" w:color="auto" w:fill="EBF3FB"/>
          </w:tcPr>
          <w:p>
            <w:r>
              <w:rPr>
                <w:sz w:val="20"/>
              </w:rPr>
              <w:t>8,000</w:t>
            </w:r>
          </w:p>
        </w:tc>
        <w:tc>
          <w:tcPr>
            <w:tcW w:type="dxa" w:w="2232"/>
            <w:shd w:val="clear" w:color="auto" w:fill="EBF3FB"/>
          </w:tcPr>
          <w:p>
            <w:r>
              <w:rPr>
                <w:sz w:val="20"/>
              </w:rPr>
              <w:t>App Store rankings doing real work</w:t>
            </w:r>
          </w:p>
        </w:tc>
      </w:tr>
      <w:tr>
        <w:tc>
          <w:tcPr>
            <w:tcW w:type="dxa" w:w="2232"/>
            <w:shd w:val="clear" w:color="auto" w:fill="D9EAD3"/>
          </w:tcPr>
          <w:p>
            <w:r>
              <w:rPr>
                <w:b/>
                <w:sz w:val="20"/>
              </w:rPr>
              <w:t>4</w:t>
            </w:r>
          </w:p>
        </w:tc>
        <w:tc>
          <w:tcPr>
            <w:tcW w:type="dxa" w:w="2232"/>
            <w:shd w:val="clear" w:color="auto" w:fill="D9EAD3"/>
          </w:tcPr>
          <w:p>
            <w:r>
              <w:rPr>
                <w:sz w:val="20"/>
              </w:rPr>
              <w:t>$1.25 / mo</w:t>
            </w:r>
          </w:p>
        </w:tc>
        <w:tc>
          <w:tcPr>
            <w:tcW w:type="dxa" w:w="2232"/>
            <w:shd w:val="clear" w:color="auto" w:fill="D9EAD3"/>
          </w:tcPr>
          <w:p>
            <w:r>
              <w:rPr>
                <w:sz w:val="20"/>
              </w:rPr>
              <w:t>15,000</w:t>
            </w:r>
          </w:p>
        </w:tc>
        <w:tc>
          <w:tcPr>
            <w:tcW w:type="dxa" w:w="2232"/>
            <w:shd w:val="clear" w:color="auto" w:fill="D9EAD3"/>
          </w:tcPr>
          <w:p>
            <w:r>
              <w:rPr>
                <w:sz w:val="20"/>
              </w:rPr>
              <w:t>Approaching ceiling of niche TAM</w:t>
            </w:r>
          </w:p>
        </w:tc>
      </w:tr>
      <w:tr>
        <w:tc>
          <w:tcPr>
            <w:tcW w:type="dxa" w:w="2232"/>
            <w:shd w:val="clear" w:color="auto" w:fill="E8F5E3"/>
          </w:tcPr>
          <w:p>
            <w:r>
              <w:rPr>
                <w:b/>
                <w:sz w:val="20"/>
              </w:rPr>
              <w:t>5 — Mature</w:t>
            </w:r>
          </w:p>
        </w:tc>
        <w:tc>
          <w:tcPr>
            <w:tcW w:type="dxa" w:w="2232"/>
            <w:shd w:val="clear" w:color="auto" w:fill="E8F5E3"/>
          </w:tcPr>
          <w:p>
            <w:r>
              <w:rPr>
                <w:sz w:val="20"/>
              </w:rPr>
              <w:t>$1.00 / mo</w:t>
            </w:r>
          </w:p>
        </w:tc>
        <w:tc>
          <w:tcPr>
            <w:tcW w:type="dxa" w:w="2232"/>
            <w:shd w:val="clear" w:color="auto" w:fill="E8F5E3"/>
          </w:tcPr>
          <w:p>
            <w:r>
              <w:rPr>
                <w:sz w:val="20"/>
              </w:rPr>
              <w:t>25,000</w:t>
            </w:r>
          </w:p>
        </w:tc>
        <w:tc>
          <w:tcPr>
            <w:tcW w:type="dxa" w:w="2232"/>
            <w:shd w:val="clear" w:color="auto" w:fill="E8F5E3"/>
          </w:tcPr>
          <w:p>
            <w:r>
              <w:rPr>
                <w:sz w:val="20"/>
              </w:rPr>
              <w:t>Self-sustaining; commission is retention incentive</w:t>
            </w:r>
          </w:p>
        </w:tc>
      </w:tr>
    </w:tbl>
    <w:p/>
    <w:p>
      <w:pPr>
        <w:spacing w:before="360" w:after="120"/>
      </w:pPr>
      <w:r>
        <w:rPr>
          <w:b/>
          <w:color w:val="2C1A0E"/>
          <w:sz w:val="32"/>
        </w:rPr>
        <w:t>Move 2: Eliminate Switching Costs with a Permanent Free Tier</w:t>
      </w:r>
    </w:p>
    <w:p>
      <w:pPr>
        <w:spacing w:before="280" w:after="80"/>
      </w:pPr>
      <w:r>
        <w:rPr>
          <w:b/>
          <w:color w:val="C8A97A"/>
          <w:sz w:val="24"/>
        </w:rPr>
        <w:t>Converting Users from Beanconqueror, Shot Bot &amp; Espresso Fun</w:t>
      </w:r>
    </w:p>
    <w:p>
      <w:pPr>
        <w:spacing w:after="120"/>
      </w:pPr>
      <w:r>
        <w:rPr>
          <w:color w:val="1A1A1A"/>
          <w:sz w:val="21"/>
        </w:rPr>
        <w:t>Users on free logging apps aren't competitors' customers — they are unmonetised prospects. But they have a status quo bias: switching costs aren't just monetary ($0 → $4.99), they are habitual. Game theory says to remove switching costs entirely.</w:t>
      </w:r>
    </w:p>
    <w:p>
      <w:pPr>
        <w:spacing w:after="120"/>
      </w:pPr>
      <w:r>
        <w:rPr>
          <w:color w:val="1A1A1A"/>
          <w:sz w:val="21"/>
        </w:rPr>
        <w:t>A permanent free tier (unlimited shot logging, no AI coaching) reframes the decision:</w:t>
      </w:r>
    </w:p>
    <w:p>
      <w:pPr>
        <w:pStyle w:val="ListBullet"/>
        <w:spacing w:after="80"/>
      </w:pPr>
      <w:r>
        <w:rPr>
          <w:b/>
          <w:color w:val="2C1A0E"/>
          <w:sz w:val="21"/>
        </w:rPr>
        <w:t xml:space="preserve">Pay $4.99 or keep my free app → high friction </w:t>
      </w:r>
      <w:r>
        <w:rPr>
          <w:color w:val="1A1A1A"/>
          <w:sz w:val="21"/>
        </w:rPr>
        <w:t>Old decision:</w:t>
      </w:r>
    </w:p>
    <w:p>
      <w:pPr>
        <w:pStyle w:val="ListBullet"/>
        <w:spacing w:after="80"/>
      </w:pPr>
      <w:r>
        <w:rPr>
          <w:b/>
          <w:color w:val="2C1A0E"/>
          <w:sz w:val="21"/>
        </w:rPr>
        <w:t xml:space="preserve">Try this free thing vs. do nothing → near-zero friction </w:t>
      </w:r>
      <w:r>
        <w:rPr>
          <w:color w:val="1A1A1A"/>
          <w:sz w:val="21"/>
        </w:rPr>
        <w:t>New decision:</w:t>
      </w:r>
    </w:p>
    <w:p>
      <w:pPr>
        <w:pStyle w:val="ListBullet"/>
        <w:spacing w:after="80"/>
      </w:pPr>
      <w:r>
        <w:rPr>
          <w:b/>
          <w:color w:val="2C1A0E"/>
          <w:sz w:val="21"/>
        </w:rPr>
        <w:t xml:space="preserve">The AI fixes an extraction problem their old app couldn't diagnose. $4.99 becomes obvious. </w:t>
      </w:r>
      <w:r>
        <w:rPr>
          <w:color w:val="1A1A1A"/>
          <w:sz w:val="21"/>
        </w:rPr>
        <w:t>Conversion moment:</w:t>
      </w:r>
    </w:p>
    <w:p>
      <w:pPr>
        <w:spacing w:before="160" w:after="160"/>
        <w:ind w:left="432" w:right="432"/>
        <w:shd w:val="clear" w:color="auto" w:fill="FFF2CC"/>
      </w:pPr>
      <w:r>
        <w:rPr>
          <w:b/>
          <w:color w:val="2C1A0E"/>
          <w:sz w:val="21"/>
        </w:rPr>
        <w:t xml:space="preserve">  Free-tier users acquired at $0 CAC converting at 15–20% to Pro at $4.99/month with an 18-month average lifetime = $13–18 LTV per free user. This is a compelling unit economic.  </w:t>
      </w:r>
    </w:p>
    <w:p>
      <w:pPr>
        <w:spacing w:before="280" w:after="80"/>
      </w:pPr>
      <w:r>
        <w:rPr>
          <w:b/>
          <w:color w:val="C8A97A"/>
          <w:sz w:val="24"/>
        </w:rPr>
        <w:t>Preemption Logic</w:t>
      </w:r>
    </w:p>
    <w:p>
      <w:pPr>
        <w:spacing w:after="120"/>
      </w:pPr>
      <w:r>
        <w:rPr>
          <w:color w:val="1A1A1A"/>
          <w:sz w:val="21"/>
        </w:rPr>
        <w:t>A well-funded competitor will launch with a free tier regardless. If Dial In does it first, 'I already have Dial In' becomes the default response when a competitor arrives. The lock-in is habitual, not contractual — and habitual lock-in is harder to break.</w:t>
      </w:r>
    </w:p>
    <w:p>
      <w:pPr>
        <w:spacing w:before="360" w:after="120"/>
      </w:pPr>
      <w:r>
        <w:rPr>
          <w:b/>
          <w:color w:val="2C1A0E"/>
          <w:sz w:val="32"/>
        </w:rPr>
        <w:t>Move 3: Build the Data Moat</w:t>
      </w:r>
    </w:p>
    <w:p>
      <w:pPr>
        <w:spacing w:before="280" w:after="80"/>
      </w:pPr>
      <w:r>
        <w:rPr>
          <w:b/>
          <w:color w:val="C8A97A"/>
          <w:sz w:val="24"/>
        </w:rPr>
        <w:t>The Only Truly Defensible Asset</w:t>
      </w:r>
    </w:p>
    <w:p>
      <w:pPr>
        <w:spacing w:after="120"/>
      </w:pPr>
      <w:r>
        <w:rPr>
          <w:color w:val="1A1A1A"/>
          <w:sz w:val="21"/>
        </w:rPr>
        <w:t>A well-funded competitor can copy the UI, undercut the price, and outspend on ads. They cannot replicate two years of real extraction data from real users on real machines.</w:t>
      </w:r>
    </w:p>
    <w:p>
      <w:pPr>
        <w:spacing w:after="120"/>
      </w:pPr>
      <w:r>
        <w:rPr>
          <w:color w:val="1A1A1A"/>
          <w:sz w:val="21"/>
        </w:rPr>
        <w:t>Every espresso session logged — grind setting, dose, yield, shot time, tasting notes, adjustment made — is a training signal. After 100,000 sessions across hundreds of machine and grinder combinations, Dial In's AI develops calibration that cannot be found in any textbook and cannot be built without the data.</w:t>
      </w:r>
    </w:p>
    <w:p>
      <w:pPr>
        <w:spacing w:before="280" w:after="80"/>
      </w:pPr>
      <w:r>
        <w:rPr>
          <w:b/>
          <w:color w:val="C8A97A"/>
          <w:sz w:val="24"/>
        </w:rPr>
        <w:t>Implication: User Acquisition Speed &gt; Margin (Early Stage)</w:t>
      </w:r>
    </w:p>
    <w:p>
      <w:pPr>
        <w:pStyle w:val="ListBullet"/>
        <w:spacing w:after="80"/>
      </w:pPr>
      <w:r>
        <w:rPr>
          <w:color w:val="1A1A1A"/>
          <w:sz w:val="21"/>
        </w:rPr>
        <w:t>Every user who logs shots now contributes to a moat that benefits every future user</w:t>
      </w:r>
    </w:p>
    <w:p>
      <w:pPr>
        <w:pStyle w:val="ListBullet"/>
        <w:spacing w:after="80"/>
      </w:pPr>
      <w:r>
        <w:rPr>
          <w:color w:val="1A1A1A"/>
          <w:sz w:val="21"/>
        </w:rPr>
        <w:t>The referral commission at $2 is not just buying subscribers — it is buying data points</w:t>
      </w:r>
    </w:p>
    <w:p>
      <w:pPr>
        <w:pStyle w:val="ListBullet"/>
        <w:spacing w:after="80"/>
      </w:pPr>
      <w:r>
        <w:rPr>
          <w:color w:val="1A1A1A"/>
          <w:sz w:val="21"/>
        </w:rPr>
        <w:t>Log everything, including free users — their data is valuable even if they never pay</w:t>
      </w:r>
    </w:p>
    <w:p>
      <w:pPr>
        <w:spacing w:before="280" w:after="80"/>
      </w:pPr>
      <w:r>
        <w:rPr>
          <w:b/>
          <w:color w:val="C8A97A"/>
          <w:sz w:val="24"/>
        </w:rPr>
        <w:t>Make the Moat Visible</w:t>
      </w:r>
    </w:p>
    <w:p>
      <w:pPr>
        <w:pStyle w:val="ListBullet"/>
        <w:spacing w:after="80"/>
      </w:pPr>
      <w:r>
        <w:rPr>
          <w:color w:val="1A1A1A"/>
          <w:sz w:val="21"/>
        </w:rPr>
        <w:t>Publish periodic 'what N million shots taught us' content — signals data advantage publicly</w:t>
      </w:r>
    </w:p>
    <w:p>
      <w:pPr>
        <w:pStyle w:val="ListBullet"/>
        <w:spacing w:after="80"/>
      </w:pPr>
      <w:r>
        <w:rPr>
          <w:color w:val="1A1A1A"/>
          <w:sz w:val="21"/>
        </w:rPr>
        <w:t>Show users the AI improving over time — 'This recommendation is based on 2M extraction sessions'</w:t>
      </w:r>
    </w:p>
    <w:p>
      <w:pPr>
        <w:pStyle w:val="ListBullet"/>
        <w:spacing w:after="80"/>
      </w:pPr>
      <w:r>
        <w:rPr>
          <w:color w:val="1A1A1A"/>
          <w:sz w:val="21"/>
        </w:rPr>
        <w:t>This deters potential competitors who know they would be starting from zero</w:t>
      </w:r>
    </w:p>
    <w:p>
      <w:pPr>
        <w:spacing w:before="360" w:after="120"/>
      </w:pPr>
      <w:r>
        <w:rPr>
          <w:b/>
          <w:color w:val="2C1A0E"/>
          <w:sz w:val="32"/>
        </w:rPr>
        <w:t>Move 4: Geographic Clustering Before Going Broad</w:t>
      </w:r>
    </w:p>
    <w:p>
      <w:pPr>
        <w:spacing w:before="280" w:after="80"/>
      </w:pPr>
      <w:r>
        <w:rPr>
          <w:b/>
          <w:color w:val="C8A97A"/>
          <w:sz w:val="24"/>
        </w:rPr>
        <w:t>Trigger Local Tipping Points First</w:t>
      </w:r>
    </w:p>
    <w:p>
      <w:pPr>
        <w:spacing w:after="120"/>
      </w:pPr>
      <w:r>
        <w:rPr>
          <w:color w:val="1A1A1A"/>
          <w:sz w:val="21"/>
        </w:rPr>
        <w:t>The specialty coffee market clusters heavily in a small number of cities: Portland, Seattle, Melbourne, London, and Copenhagen. Local network effects are far easier to trigger than global ones.</w:t>
      </w:r>
    </w:p>
    <w:p>
      <w:pPr>
        <w:spacing w:after="120"/>
      </w:pPr>
      <w:r>
        <w:rPr>
          <w:color w:val="1A1A1A"/>
          <w:sz w:val="21"/>
        </w:rPr>
        <w:t>A user in Portland who says 'everyone at my coffee meetup uses Dial In' is more powerful than 10,000 scattered downloads. The strategy: saturate one city first, then let it radiate.</w:t>
      </w:r>
    </w:p>
    <w:p>
      <w:pPr>
        <w:pStyle w:val="ListBullet"/>
        <w:spacing w:after="80"/>
      </w:pPr>
      <w:r>
        <w:rPr>
          <w:color w:val="1A1A1A"/>
          <w:sz w:val="21"/>
        </w:rPr>
        <w:t>Partner with 1–2 local specialty roasters in Portland or Melbourne for a co-branded launch</w:t>
      </w:r>
    </w:p>
    <w:p>
      <w:pPr>
        <w:pStyle w:val="ListBullet"/>
        <w:spacing w:after="80"/>
      </w:pPr>
      <w:r>
        <w:rPr>
          <w:color w:val="1A1A1A"/>
          <w:sz w:val="21"/>
        </w:rPr>
        <w:t>A roaster telling their customers to use Dial In with their beans costs almost nothing</w:t>
      </w:r>
    </w:p>
    <w:p>
      <w:pPr>
        <w:pStyle w:val="ListBullet"/>
        <w:spacing w:after="80"/>
      </w:pPr>
      <w:r>
        <w:rPr>
          <w:color w:val="1A1A1A"/>
          <w:sz w:val="21"/>
        </w:rPr>
        <w:t>Once one city's specialty coffee community treats Dial In as the default, that reputation spreads through the global specialty coffee network organically</w:t>
      </w:r>
    </w:p>
    <w:p>
      <w:pPr>
        <w:pStyle w:val="ListBullet"/>
        <w:spacing w:after="80"/>
      </w:pPr>
      <w:r>
        <w:rPr>
          <w:color w:val="1A1A1A"/>
          <w:sz w:val="21"/>
        </w:rPr>
        <w:t>These communities are tightly networked — Portland baristas follow Melbourne baristas follow Copenhagen baristas</w:t>
      </w:r>
    </w:p>
    <w:p>
      <w:pPr>
        <w:spacing w:before="360" w:after="120"/>
      </w:pPr>
      <w:r>
        <w:rPr>
          <w:b/>
          <w:color w:val="2C1A0E"/>
          <w:sz w:val="32"/>
        </w:rPr>
        <w:t>Move 5: Preempt the Competitor's Best Moves</w:t>
      </w:r>
    </w:p>
    <w:p>
      <w:pPr>
        <w:spacing w:before="280" w:after="80"/>
      </w:pPr>
      <w:r>
        <w:rPr>
          <w:b/>
          <w:color w:val="C8A97A"/>
          <w:sz w:val="24"/>
        </w:rPr>
        <w:t>Anticipating the VC-Backed Entry Playbook</w:t>
      </w:r>
    </w:p>
    <w:p>
      <w:pPr>
        <w:spacing w:after="120"/>
      </w:pPr>
      <w:r>
        <w:rPr>
          <w:color w:val="1A1A1A"/>
          <w:sz w:val="21"/>
        </w:rPr>
        <w:t>Assuming a well-funded competitor enters in 12–18 months with $2M+ to spend, here is their standard playbook — and the preemptive counter for each move:</w:t>
      </w:r>
    </w:p>
    <w:tbl>
      <w:tblPr>
        <w:tblStyle w:val="TableGrid"/>
        <w:tblW w:type="auto" w:w="0"/>
        <w:jc w:val="center"/>
        <w:tblLook w:firstColumn="1" w:firstRow="1" w:lastColumn="0" w:lastRow="0" w:noHBand="0" w:noVBand="1" w:val="04A0"/>
      </w:tblPr>
      <w:tblGrid>
        <w:gridCol w:w="4464"/>
        <w:gridCol w:w="4464"/>
      </w:tblGrid>
      <w:tr>
        <w:tc>
          <w:tcPr>
            <w:tcW w:type="dxa" w:w="4464"/>
            <w:shd w:val="clear" w:color="auto" w:fill="2C1A0E"/>
          </w:tcPr>
          <w:p>
            <w:r>
              <w:rPr>
                <w:b/>
                <w:color w:val="FFFFF2"/>
                <w:sz w:val="20"/>
              </w:rPr>
              <w:t>Their Likely Move</w:t>
            </w:r>
          </w:p>
        </w:tc>
        <w:tc>
          <w:tcPr>
            <w:tcW w:type="dxa" w:w="4464"/>
            <w:shd w:val="clear" w:color="auto" w:fill="2C1A0E"/>
          </w:tcPr>
          <w:p>
            <w:r>
              <w:rPr>
                <w:b/>
                <w:color w:val="FFFFF2"/>
                <w:sz w:val="20"/>
              </w:rPr>
              <w:t>Preemptive Counter (Do This Now)</w:t>
            </w:r>
          </w:p>
        </w:tc>
      </w:tr>
      <w:tr>
        <w:tc>
          <w:tcPr>
            <w:tcW w:type="dxa" w:w="4464"/>
            <w:shd w:val="clear" w:color="auto" w:fill="FFF2CC"/>
          </w:tcPr>
          <w:p>
            <w:r>
              <w:rPr>
                <w:sz w:val="20"/>
              </w:rPr>
              <w:t>Heavy influencer spend</w:t>
            </w:r>
          </w:p>
        </w:tc>
        <w:tc>
          <w:tcPr>
            <w:tcW w:type="dxa" w:w="4464"/>
            <w:shd w:val="clear" w:color="auto" w:fill="D9EAD3"/>
          </w:tcPr>
          <w:p>
            <w:r>
              <w:rPr>
                <w:sz w:val="20"/>
              </w:rPr>
              <w:t>Lock in Tier 1 creators with founding affiliate deals now — relationship + revenue = loyalty</w:t>
            </w:r>
          </w:p>
        </w:tc>
      </w:tr>
      <w:tr>
        <w:tc>
          <w:tcPr>
            <w:tcW w:type="dxa" w:w="4464"/>
            <w:shd w:val="clear" w:color="auto" w:fill="FFF2CC"/>
          </w:tcPr>
          <w:p>
            <w:r>
              <w:rPr>
                <w:sz w:val="20"/>
              </w:rPr>
              <w:t>Free tier launch</w:t>
            </w:r>
          </w:p>
        </w:tc>
        <w:tc>
          <w:tcPr>
            <w:tcW w:type="dxa" w:w="4464"/>
            <w:shd w:val="clear" w:color="auto" w:fill="D9EAD3"/>
          </w:tcPr>
          <w:p>
            <w:r>
              <w:rPr>
                <w:sz w:val="20"/>
              </w:rPr>
              <w:t>Launch your free tier first so 'I already have Dial In' is the response</w:t>
            </w:r>
          </w:p>
        </w:tc>
      </w:tr>
      <w:tr>
        <w:tc>
          <w:tcPr>
            <w:tcW w:type="dxa" w:w="4464"/>
            <w:shd w:val="clear" w:color="auto" w:fill="FFF2CC"/>
          </w:tcPr>
          <w:p>
            <w:r>
              <w:rPr>
                <w:sz w:val="20"/>
              </w:rPr>
              <w:t>Lower price ($3.99/month)</w:t>
            </w:r>
          </w:p>
        </w:tc>
        <w:tc>
          <w:tcPr>
            <w:tcW w:type="dxa" w:w="4464"/>
            <w:shd w:val="clear" w:color="auto" w:fill="D9EAD3"/>
          </w:tcPr>
          <w:p>
            <w:r>
              <w:rPr>
                <w:sz w:val="20"/>
              </w:rPr>
              <w:t>Data moat + community = premium worth paying. Do not chase price.</w:t>
            </w:r>
          </w:p>
        </w:tc>
      </w:tr>
      <w:tr>
        <w:tc>
          <w:tcPr>
            <w:tcW w:type="dxa" w:w="4464"/>
            <w:shd w:val="clear" w:color="auto" w:fill="FFF2CC"/>
          </w:tcPr>
          <w:p>
            <w:r>
              <w:rPr>
                <w:sz w:val="20"/>
              </w:rPr>
              <w:t>Slicker UI / more features</w:t>
            </w:r>
          </w:p>
        </w:tc>
        <w:tc>
          <w:tcPr>
            <w:tcW w:type="dxa" w:w="4464"/>
            <w:shd w:val="clear" w:color="auto" w:fill="D9EAD3"/>
          </w:tcPr>
          <w:p>
            <w:r>
              <w:rPr>
                <w:sz w:val="20"/>
              </w:rPr>
              <w:t>Ship fast. Be first to own App Store keyword 'espresso dial in'</w:t>
            </w:r>
          </w:p>
        </w:tc>
      </w:tr>
      <w:tr>
        <w:tc>
          <w:tcPr>
            <w:tcW w:type="dxa" w:w="4464"/>
            <w:shd w:val="clear" w:color="auto" w:fill="FFF2CC"/>
          </w:tcPr>
          <w:p>
            <w:r>
              <w:rPr>
                <w:sz w:val="20"/>
              </w:rPr>
              <w:t>'Powered by GPT-5' marketing</w:t>
            </w:r>
          </w:p>
        </w:tc>
        <w:tc>
          <w:tcPr>
            <w:tcW w:type="dxa" w:w="4464"/>
            <w:shd w:val="clear" w:color="auto" w:fill="D9EAD3"/>
          </w:tcPr>
          <w:p>
            <w:r>
              <w:rPr>
                <w:sz w:val="20"/>
              </w:rPr>
              <w:t>Market the proprietary extraction dataset, not the model. Models are a commodity; your data is not.</w:t>
            </w:r>
          </w:p>
        </w:tc>
      </w:tr>
    </w:tbl>
    <w:p/>
    <w:p>
      <w:pPr>
        <w:spacing w:before="360" w:after="120"/>
      </w:pPr>
      <w:r>
        <w:rPr>
          <w:b/>
          <w:color w:val="2C1A0E"/>
          <w:sz w:val="32"/>
        </w:rPr>
        <w:t>Execution Timeline</w:t>
      </w:r>
    </w:p>
    <w:tbl>
      <w:tblPr>
        <w:tblStyle w:val="TableGrid"/>
        <w:tblW w:type="auto" w:w="0"/>
        <w:jc w:val="center"/>
        <w:tblLook w:firstColumn="1" w:firstRow="1" w:lastColumn="0" w:lastRow="0" w:noHBand="0" w:noVBand="1" w:val="04A0"/>
      </w:tblPr>
      <w:tblGrid>
        <w:gridCol w:w="2976"/>
        <w:gridCol w:w="2976"/>
        <w:gridCol w:w="2976"/>
      </w:tblGrid>
      <w:tr>
        <w:tc>
          <w:tcPr>
            <w:tcW w:type="dxa" w:w="2976"/>
            <w:shd w:val="clear" w:color="auto" w:fill="2C1A0E"/>
          </w:tcPr>
          <w:p>
            <w:pPr>
              <w:jc w:val="center"/>
            </w:pPr>
            <w:r>
              <w:rPr>
                <w:b/>
                <w:color w:val="FFFFF2"/>
                <w:sz w:val="20"/>
              </w:rPr>
              <w:t>Period</w:t>
            </w:r>
          </w:p>
        </w:tc>
        <w:tc>
          <w:tcPr>
            <w:tcW w:type="dxa" w:w="2976"/>
            <w:shd w:val="clear" w:color="auto" w:fill="2C1A0E"/>
          </w:tcPr>
          <w:p>
            <w:pPr>
              <w:jc w:val="center"/>
            </w:pPr>
            <w:r>
              <w:rPr>
                <w:b/>
                <w:color w:val="FFFFF2"/>
                <w:sz w:val="20"/>
              </w:rPr>
              <w:t>Priority Actions</w:t>
            </w:r>
          </w:p>
        </w:tc>
        <w:tc>
          <w:tcPr>
            <w:tcW w:type="dxa" w:w="2976"/>
            <w:shd w:val="clear" w:color="auto" w:fill="2C1A0E"/>
          </w:tcPr>
          <w:p>
            <w:pPr>
              <w:jc w:val="center"/>
            </w:pPr>
            <w:r>
              <w:rPr>
                <w:b/>
                <w:color w:val="FFFFF2"/>
                <w:sz w:val="20"/>
              </w:rPr>
              <w:t>Success Metric</w:t>
            </w:r>
          </w:p>
        </w:tc>
      </w:tr>
      <w:tr>
        <w:tc>
          <w:tcPr>
            <w:tcW w:type="dxa" w:w="2976"/>
            <w:shd w:val="clear" w:color="auto" w:fill="EBF3FB"/>
          </w:tcPr>
          <w:p>
            <w:r>
              <w:rPr>
                <w:b/>
                <w:sz w:val="20"/>
              </w:rPr>
              <w:t>Months 1–2</w:t>
            </w:r>
          </w:p>
        </w:tc>
        <w:tc>
          <w:tcPr>
            <w:tcW w:type="dxa" w:w="2976"/>
            <w:shd w:val="clear" w:color="auto" w:fill="FAFAFA"/>
          </w:tcPr>
          <w:p>
            <w:r>
              <w:rPr>
                <w:sz w:val="20"/>
              </w:rPr>
              <w:t>Founding affiliate deals with 3 Tier 1 creators</w:t>
              <w:br/>
              <w:t>Launch free tier alongside Pro</w:t>
            </w:r>
          </w:p>
        </w:tc>
        <w:tc>
          <w:tcPr>
            <w:tcW w:type="dxa" w:w="2976"/>
            <w:shd w:val="clear" w:color="auto" w:fill="FAFAFA"/>
          </w:tcPr>
          <w:p>
            <w:r>
              <w:rPr>
                <w:sz w:val="20"/>
              </w:rPr>
              <w:t>Tier 1 contracts signed</w:t>
              <w:br/>
              <w:t>Free tier live</w:t>
            </w:r>
          </w:p>
        </w:tc>
      </w:tr>
      <w:tr>
        <w:tc>
          <w:tcPr>
            <w:tcW w:type="dxa" w:w="2976"/>
            <w:shd w:val="clear" w:color="auto" w:fill="FFF9E6"/>
          </w:tcPr>
          <w:p>
            <w:r>
              <w:rPr>
                <w:b/>
                <w:sz w:val="20"/>
              </w:rPr>
              <w:t>Month 3</w:t>
            </w:r>
          </w:p>
        </w:tc>
        <w:tc>
          <w:tcPr>
            <w:tcW w:type="dxa" w:w="2976"/>
            <w:shd w:val="clear" w:color="auto" w:fill="FAFAFA"/>
          </w:tcPr>
          <w:p>
            <w:r>
              <w:rPr>
                <w:sz w:val="20"/>
              </w:rPr>
              <w:t>Coordinated Tier 1 influencer launch window</w:t>
              <w:br/>
              <w:t>All partners publish in same 30-day period</w:t>
            </w:r>
          </w:p>
        </w:tc>
        <w:tc>
          <w:tcPr>
            <w:tcW w:type="dxa" w:w="2976"/>
            <w:shd w:val="clear" w:color="auto" w:fill="FAFAFA"/>
          </w:tcPr>
          <w:p>
            <w:r>
              <w:rPr>
                <w:sz w:val="20"/>
              </w:rPr>
              <w:t>20–50k downloads</w:t>
              <w:br/>
              <w:t>Schelling point established</w:t>
            </w:r>
          </w:p>
        </w:tc>
      </w:tr>
      <w:tr>
        <w:tc>
          <w:tcPr>
            <w:tcW w:type="dxa" w:w="2976"/>
            <w:shd w:val="clear" w:color="auto" w:fill="FFF2CC"/>
          </w:tcPr>
          <w:p>
            <w:r>
              <w:rPr>
                <w:b/>
                <w:sz w:val="20"/>
              </w:rPr>
              <w:t>Months 3–6</w:t>
            </w:r>
          </w:p>
        </w:tc>
        <w:tc>
          <w:tcPr>
            <w:tcW w:type="dxa" w:w="2976"/>
            <w:shd w:val="clear" w:color="auto" w:fill="FAFAFA"/>
          </w:tcPr>
          <w:p>
            <w:r>
              <w:rPr>
                <w:sz w:val="20"/>
              </w:rPr>
              <w:t>Geographic cluster launch (Portland or Melbourne)</w:t>
              <w:br/>
              <w:t>Local roaster partnerships</w:t>
              <w:br/>
              <w:t>r/espresso community presence</w:t>
            </w:r>
          </w:p>
        </w:tc>
        <w:tc>
          <w:tcPr>
            <w:tcW w:type="dxa" w:w="2976"/>
            <w:shd w:val="clear" w:color="auto" w:fill="FAFAFA"/>
          </w:tcPr>
          <w:p>
            <w:r>
              <w:rPr>
                <w:sz w:val="20"/>
              </w:rPr>
              <w:t>One city community treats Dial In as default</w:t>
              <w:br/>
              <w:t>1,000+ Pro subscribers</w:t>
            </w:r>
          </w:p>
        </w:tc>
      </w:tr>
      <w:tr>
        <w:tc>
          <w:tcPr>
            <w:tcW w:type="dxa" w:w="2976"/>
            <w:shd w:val="clear" w:color="auto" w:fill="F0F7E6"/>
          </w:tcPr>
          <w:p>
            <w:r>
              <w:rPr>
                <w:b/>
                <w:sz w:val="20"/>
              </w:rPr>
              <w:t>Month 6</w:t>
            </w:r>
          </w:p>
        </w:tc>
        <w:tc>
          <w:tcPr>
            <w:tcW w:type="dxa" w:w="2976"/>
            <w:shd w:val="clear" w:color="auto" w:fill="FAFAFA"/>
          </w:tcPr>
          <w:p>
            <w:r>
              <w:rPr>
                <w:sz w:val="20"/>
              </w:rPr>
              <w:t>Data moat content ('1M shots taught us X')</w:t>
              <w:br/>
              <w:t>App Store keyword dominance</w:t>
              <w:br/>
              <w:t>Tier 2 creator outreach</w:t>
            </w:r>
          </w:p>
        </w:tc>
        <w:tc>
          <w:tcPr>
            <w:tcW w:type="dxa" w:w="2976"/>
            <w:shd w:val="clear" w:color="auto" w:fill="FAFAFA"/>
          </w:tcPr>
          <w:p>
            <w:r>
              <w:rPr>
                <w:sz w:val="20"/>
              </w:rPr>
              <w:t>Category keyword #1</w:t>
              <w:br/>
              <w:t>3,000 Pro subscribers (Phase 2 commission trigger)</w:t>
            </w:r>
          </w:p>
        </w:tc>
      </w:tr>
      <w:tr>
        <w:tc>
          <w:tcPr>
            <w:tcW w:type="dxa" w:w="2976"/>
            <w:shd w:val="clear" w:color="auto" w:fill="D9EAD3"/>
          </w:tcPr>
          <w:p>
            <w:r>
              <w:rPr>
                <w:b/>
                <w:sz w:val="20"/>
              </w:rPr>
              <w:t>Month 12</w:t>
            </w:r>
          </w:p>
        </w:tc>
        <w:tc>
          <w:tcPr>
            <w:tcW w:type="dxa" w:w="2976"/>
            <w:shd w:val="clear" w:color="auto" w:fill="FAFAFA"/>
          </w:tcPr>
          <w:p>
            <w:r>
              <w:rPr>
                <w:sz w:val="20"/>
              </w:rPr>
              <w:t>Data moat publicly visible</w:t>
              <w:br/>
              <w:t>Community self-sustaining</w:t>
              <w:br/>
              <w:t>Phase 2–3 commission step-down</w:t>
            </w:r>
          </w:p>
        </w:tc>
        <w:tc>
          <w:tcPr>
            <w:tcW w:type="dxa" w:w="2976"/>
            <w:shd w:val="clear" w:color="auto" w:fill="FAFAFA"/>
          </w:tcPr>
          <w:p>
            <w:r>
              <w:rPr>
                <w:sz w:val="20"/>
              </w:rPr>
              <w:t>8,000+ Pro subscribers</w:t>
              <w:br/>
              <w:t>Competitor entry is uphill</w:t>
            </w:r>
          </w:p>
        </w:tc>
      </w:tr>
    </w:tbl>
    <w:p/>
    <w:p>
      <w:pPr>
        <w:spacing w:before="360" w:after="120"/>
      </w:pPr>
      <w:r>
        <w:rPr>
          <w:b/>
          <w:color w:val="2C1A0E"/>
          <w:sz w:val="32"/>
        </w:rPr>
        <w:t>Unit Economics at Target Scale</w:t>
      </w:r>
    </w:p>
    <w:p>
      <w:pPr>
        <w:spacing w:after="120"/>
      </w:pPr>
      <w:r>
        <w:rPr>
          <w:color w:val="1A1A1A"/>
          <w:sz w:val="21"/>
        </w:rPr>
        <w:t>At 20,000 Pro subscribers with 55% referral-driven (Phase 1 commission rate of $2.00/month):</w:t>
      </w:r>
    </w:p>
    <w:tbl>
      <w:tblPr>
        <w:tblStyle w:val="TableGrid"/>
        <w:tblW w:type="auto" w:w="0"/>
        <w:jc w:val="center"/>
        <w:tblLook w:firstColumn="1" w:firstRow="1" w:lastColumn="0" w:lastRow="0" w:noHBand="0" w:noVBand="1" w:val="04A0"/>
      </w:tblPr>
      <w:tblGrid>
        <w:gridCol w:w="2976"/>
        <w:gridCol w:w="2976"/>
        <w:gridCol w:w="2976"/>
      </w:tblGrid>
      <w:tr>
        <w:tc>
          <w:tcPr>
            <w:tcW w:type="dxa" w:w="2976"/>
            <w:shd w:val="clear" w:color="auto" w:fill="2C1A0E"/>
          </w:tcPr>
          <w:p>
            <w:pPr>
              <w:jc w:val="center"/>
            </w:pPr>
            <w:r>
              <w:rPr>
                <w:b/>
                <w:color w:val="FFFFF2"/>
                <w:sz w:val="20"/>
              </w:rPr>
              <w:t>Line Item</w:t>
            </w:r>
          </w:p>
        </w:tc>
        <w:tc>
          <w:tcPr>
            <w:tcW w:type="dxa" w:w="2976"/>
            <w:shd w:val="clear" w:color="auto" w:fill="2C1A0E"/>
          </w:tcPr>
          <w:p>
            <w:pPr>
              <w:jc w:val="center"/>
            </w:pPr>
            <w:r>
              <w:rPr>
                <w:b/>
                <w:color w:val="FFFFF2"/>
                <w:sz w:val="20"/>
              </w:rPr>
              <w:t>Monthly</w:t>
            </w:r>
          </w:p>
        </w:tc>
        <w:tc>
          <w:tcPr>
            <w:tcW w:type="dxa" w:w="2976"/>
            <w:shd w:val="clear" w:color="auto" w:fill="2C1A0E"/>
          </w:tcPr>
          <w:p>
            <w:pPr>
              <w:jc w:val="center"/>
            </w:pPr>
            <w:r>
              <w:rPr>
                <w:b/>
                <w:color w:val="FFFFF2"/>
                <w:sz w:val="20"/>
              </w:rPr>
              <w:t>Annual</w:t>
            </w:r>
          </w:p>
        </w:tc>
      </w:tr>
      <w:tr>
        <w:tc>
          <w:tcPr>
            <w:tcW w:type="dxa" w:w="2976"/>
            <w:shd w:val="clear" w:color="auto" w:fill="FAFAFA"/>
          </w:tcPr>
          <w:p>
            <w:r>
              <w:rPr>
                <w:sz w:val="20"/>
              </w:rPr>
              <w:t>Gross revenue (20k × $4.99)</w:t>
            </w:r>
          </w:p>
        </w:tc>
        <w:tc>
          <w:tcPr>
            <w:tcW w:type="dxa" w:w="2976"/>
            <w:shd w:val="clear" w:color="auto" w:fill="FAFAFA"/>
          </w:tcPr>
          <w:p>
            <w:pPr>
              <w:jc w:val="right"/>
            </w:pPr>
            <w:r>
              <w:rPr>
                <w:sz w:val="20"/>
              </w:rPr>
              <w:t>$99,800</w:t>
            </w:r>
          </w:p>
        </w:tc>
        <w:tc>
          <w:tcPr>
            <w:tcW w:type="dxa" w:w="2976"/>
            <w:shd w:val="clear" w:color="auto" w:fill="FAFAFA"/>
          </w:tcPr>
          <w:p>
            <w:pPr>
              <w:jc w:val="right"/>
            </w:pPr>
            <w:r>
              <w:rPr>
                <w:sz w:val="20"/>
              </w:rPr>
              <w:t>$1,197,600</w:t>
            </w:r>
          </w:p>
        </w:tc>
      </w:tr>
      <w:tr>
        <w:tc>
          <w:tcPr>
            <w:tcW w:type="dxa" w:w="2976"/>
            <w:shd w:val="clear" w:color="auto" w:fill="FAFAFA"/>
          </w:tcPr>
          <w:p>
            <w:r>
              <w:rPr>
                <w:sz w:val="20"/>
              </w:rPr>
              <w:t>Stripe fees (2.9% + $0.30/sub)</w:t>
            </w:r>
          </w:p>
        </w:tc>
        <w:tc>
          <w:tcPr>
            <w:tcW w:type="dxa" w:w="2976"/>
            <w:shd w:val="clear" w:color="auto" w:fill="FAFAFA"/>
          </w:tcPr>
          <w:p>
            <w:pPr>
              <w:jc w:val="right"/>
            </w:pPr>
            <w:r>
              <w:rPr>
                <w:sz w:val="20"/>
              </w:rPr>
              <w:t>−$8,900</w:t>
            </w:r>
          </w:p>
        </w:tc>
        <w:tc>
          <w:tcPr>
            <w:tcW w:type="dxa" w:w="2976"/>
            <w:shd w:val="clear" w:color="auto" w:fill="FAFAFA"/>
          </w:tcPr>
          <w:p>
            <w:pPr>
              <w:jc w:val="right"/>
            </w:pPr>
            <w:r>
              <w:rPr>
                <w:sz w:val="20"/>
              </w:rPr>
              <w:t>−$106,800</w:t>
            </w:r>
          </w:p>
        </w:tc>
      </w:tr>
      <w:tr>
        <w:tc>
          <w:tcPr>
            <w:tcW w:type="dxa" w:w="2976"/>
            <w:shd w:val="clear" w:color="auto" w:fill="EBF3FB"/>
          </w:tcPr>
          <w:p>
            <w:r>
              <w:rPr>
                <w:sz w:val="20"/>
              </w:rPr>
              <w:t>Net revenue</w:t>
            </w:r>
          </w:p>
        </w:tc>
        <w:tc>
          <w:tcPr>
            <w:tcW w:type="dxa" w:w="2976"/>
            <w:shd w:val="clear" w:color="auto" w:fill="EBF3FB"/>
          </w:tcPr>
          <w:p>
            <w:pPr>
              <w:jc w:val="right"/>
            </w:pPr>
            <w:r>
              <w:rPr>
                <w:sz w:val="20"/>
              </w:rPr>
              <w:t>$90,900</w:t>
            </w:r>
          </w:p>
        </w:tc>
        <w:tc>
          <w:tcPr>
            <w:tcW w:type="dxa" w:w="2976"/>
            <w:shd w:val="clear" w:color="auto" w:fill="EBF3FB"/>
          </w:tcPr>
          <w:p>
            <w:pPr>
              <w:jc w:val="right"/>
            </w:pPr>
            <w:r>
              <w:rPr>
                <w:sz w:val="20"/>
              </w:rPr>
              <w:t>$1,090,800</w:t>
            </w:r>
          </w:p>
        </w:tc>
      </w:tr>
      <w:tr>
        <w:tc>
          <w:tcPr>
            <w:tcW w:type="dxa" w:w="2976"/>
            <w:shd w:val="clear" w:color="auto" w:fill="FAFAFA"/>
          </w:tcPr>
          <w:p>
            <w:r>
              <w:rPr>
                <w:sz w:val="20"/>
              </w:rPr>
              <w:t>Affiliate commissions (11k × $2)</w:t>
            </w:r>
          </w:p>
        </w:tc>
        <w:tc>
          <w:tcPr>
            <w:tcW w:type="dxa" w:w="2976"/>
            <w:shd w:val="clear" w:color="auto" w:fill="FAFAFA"/>
          </w:tcPr>
          <w:p>
            <w:pPr>
              <w:jc w:val="right"/>
            </w:pPr>
            <w:r>
              <w:rPr>
                <w:sz w:val="20"/>
              </w:rPr>
              <w:t>−$22,000</w:t>
            </w:r>
          </w:p>
        </w:tc>
        <w:tc>
          <w:tcPr>
            <w:tcW w:type="dxa" w:w="2976"/>
            <w:shd w:val="clear" w:color="auto" w:fill="FAFAFA"/>
          </w:tcPr>
          <w:p>
            <w:pPr>
              <w:jc w:val="right"/>
            </w:pPr>
            <w:r>
              <w:rPr>
                <w:sz w:val="20"/>
              </w:rPr>
              <w:t>−$264,000</w:t>
            </w:r>
          </w:p>
        </w:tc>
      </w:tr>
      <w:tr>
        <w:tc>
          <w:tcPr>
            <w:tcW w:type="dxa" w:w="2976"/>
            <w:shd w:val="clear" w:color="auto" w:fill="FAFAFA"/>
          </w:tcPr>
          <w:p>
            <w:r>
              <w:rPr>
                <w:sz w:val="20"/>
              </w:rPr>
              <w:t>API costs (20 brews × $0.018)</w:t>
            </w:r>
          </w:p>
        </w:tc>
        <w:tc>
          <w:tcPr>
            <w:tcW w:type="dxa" w:w="2976"/>
            <w:shd w:val="clear" w:color="auto" w:fill="FAFAFA"/>
          </w:tcPr>
          <w:p>
            <w:pPr>
              <w:jc w:val="right"/>
            </w:pPr>
            <w:r>
              <w:rPr>
                <w:sz w:val="20"/>
              </w:rPr>
              <w:t>−$7,200</w:t>
            </w:r>
          </w:p>
        </w:tc>
        <w:tc>
          <w:tcPr>
            <w:tcW w:type="dxa" w:w="2976"/>
            <w:shd w:val="clear" w:color="auto" w:fill="FAFAFA"/>
          </w:tcPr>
          <w:p>
            <w:pPr>
              <w:jc w:val="right"/>
            </w:pPr>
            <w:r>
              <w:rPr>
                <w:sz w:val="20"/>
              </w:rPr>
              <w:t>−$86,400</w:t>
            </w:r>
          </w:p>
        </w:tc>
      </w:tr>
      <w:tr>
        <w:tc>
          <w:tcPr>
            <w:tcW w:type="dxa" w:w="2976"/>
            <w:shd w:val="clear" w:color="auto" w:fill="FAFAFA"/>
          </w:tcPr>
          <w:p>
            <w:r>
              <w:rPr>
                <w:sz w:val="20"/>
              </w:rPr>
              <w:t>Hosting</w:t>
            </w:r>
          </w:p>
        </w:tc>
        <w:tc>
          <w:tcPr>
            <w:tcW w:type="dxa" w:w="2976"/>
            <w:shd w:val="clear" w:color="auto" w:fill="FAFAFA"/>
          </w:tcPr>
          <w:p>
            <w:pPr>
              <w:jc w:val="right"/>
            </w:pPr>
            <w:r>
              <w:rPr>
                <w:sz w:val="20"/>
              </w:rPr>
              <w:t>−$400</w:t>
            </w:r>
          </w:p>
        </w:tc>
        <w:tc>
          <w:tcPr>
            <w:tcW w:type="dxa" w:w="2976"/>
            <w:shd w:val="clear" w:color="auto" w:fill="FAFAFA"/>
          </w:tcPr>
          <w:p>
            <w:pPr>
              <w:jc w:val="right"/>
            </w:pPr>
            <w:r>
              <w:rPr>
                <w:sz w:val="20"/>
              </w:rPr>
              <w:t>−$4,800</w:t>
            </w:r>
          </w:p>
        </w:tc>
      </w:tr>
      <w:tr>
        <w:tc>
          <w:tcPr>
            <w:tcW w:type="dxa" w:w="2976"/>
            <w:shd w:val="clear" w:color="auto" w:fill="375623"/>
          </w:tcPr>
          <w:p>
            <w:r>
              <w:rPr>
                <w:b/>
                <w:color w:val="FFFFF2"/>
                <w:sz w:val="20"/>
              </w:rPr>
              <w:t>Gross Profit (~79% margin)</w:t>
            </w:r>
          </w:p>
        </w:tc>
        <w:tc>
          <w:tcPr>
            <w:tcW w:type="dxa" w:w="2976"/>
            <w:shd w:val="clear" w:color="auto" w:fill="375623"/>
          </w:tcPr>
          <w:p>
            <w:pPr>
              <w:jc w:val="right"/>
            </w:pPr>
            <w:r>
              <w:rPr>
                <w:b/>
                <w:color w:val="FFFFF2"/>
                <w:sz w:val="20"/>
              </w:rPr>
              <w:t>$61,300</w:t>
            </w:r>
          </w:p>
        </w:tc>
        <w:tc>
          <w:tcPr>
            <w:tcW w:type="dxa" w:w="2976"/>
            <w:shd w:val="clear" w:color="auto" w:fill="375623"/>
          </w:tcPr>
          <w:p>
            <w:pPr>
              <w:jc w:val="right"/>
            </w:pPr>
            <w:r>
              <w:rPr>
                <w:b/>
                <w:color w:val="FFFFF2"/>
                <w:sz w:val="20"/>
              </w:rPr>
              <w:t>$735,600</w:t>
            </w:r>
          </w:p>
        </w:tc>
      </w:tr>
    </w:tbl>
    <w:tbl>
      <w:tblPr>
        <w:tblW w:type="auto" w:w="0"/>
        <w:tblLook w:firstColumn="1" w:firstRow="1" w:lastColumn="0" w:lastRow="0" w:noHBand="0" w:noVBand="1" w:val="04A0"/>
      </w:tblPr>
      <w:tblGrid>
        <w:gridCol w:w="2976"/>
        <w:gridCol w:w="2976"/>
        <w:gridCol w:w="2976"/>
      </w:tblGrid>
      <w:tr>
        <w:tc>
          <w:tcPr>
            <w:tcW w:type="dxa" w:w="2976"/>
          </w:tcPr>
          <w:p/>
        </w:tc>
        <w:tc>
          <w:tcPr>
            <w:tcW w:type="dxa" w:w="2976"/>
          </w:tcPr>
          <w:p/>
        </w:tc>
        <w:tc>
          <w:tcPr>
            <w:tcW w:type="dxa" w:w="2976"/>
          </w:tcPr>
          <w:p/>
        </w:tc>
      </w:tr>
    </w:tbl>
    <w:p/>
    <w:p>
      <w:pPr>
        <w:spacing w:after="120"/>
      </w:pPr>
      <w:r>
        <w:rPr>
          <w:color w:val="1A1A1A"/>
          <w:sz w:val="21"/>
        </w:rPr>
        <w:t>Note: As commission steps down to $1.00/month (Phase 5, 25k subscribers), gross profit improves to ~$72,300/month ($867k/year) at ~79% margin.</w:t>
      </w:r>
    </w:p>
    <w:p>
      <w:pPr>
        <w:spacing w:before="360" w:after="120"/>
      </w:pPr>
      <w:r>
        <w:rPr>
          <w:b/>
          <w:color w:val="2C1A0E"/>
          <w:sz w:val="32"/>
        </w:rPr>
        <w:t>Conclusion: The Dominant Strategy</w:t>
      </w:r>
    </w:p>
    <w:p>
      <w:pPr>
        <w:spacing w:after="120"/>
      </w:pPr>
      <w:r>
        <w:rPr>
          <w:color w:val="1A1A1A"/>
          <w:sz w:val="21"/>
        </w:rPr>
        <w:t>The game theory analysis converges on a clear sequence:</w:t>
      </w:r>
    </w:p>
    <w:p>
      <w:pPr>
        <w:pStyle w:val="ListBullet"/>
        <w:spacing w:after="80"/>
      </w:pPr>
      <w:r>
        <w:rPr>
          <w:b/>
          <w:color w:val="2C1A0E"/>
          <w:sz w:val="21"/>
        </w:rPr>
        <w:t xml:space="preserve">— the Schelling point is first-mover territory </w:t>
      </w:r>
      <w:r>
        <w:rPr>
          <w:color w:val="1A1A1A"/>
          <w:sz w:val="21"/>
        </w:rPr>
        <w:t>Move fast on Tier 1 influencers</w:t>
      </w:r>
    </w:p>
    <w:p>
      <w:pPr>
        <w:pStyle w:val="ListBullet"/>
        <w:spacing w:after="80"/>
      </w:pPr>
      <w:r>
        <w:rPr>
          <w:b/>
          <w:color w:val="2C1A0E"/>
          <w:sz w:val="21"/>
        </w:rPr>
        <w:t xml:space="preserve">— remove switching costs before a competitor can </w:t>
      </w:r>
      <w:r>
        <w:rPr>
          <w:color w:val="1A1A1A"/>
          <w:sz w:val="21"/>
        </w:rPr>
        <w:t>Launch a free tier immediately</w:t>
      </w:r>
    </w:p>
    <w:p>
      <w:pPr>
        <w:pStyle w:val="ListBullet"/>
        <w:spacing w:after="80"/>
      </w:pPr>
      <w:r>
        <w:rPr>
          <w:b/>
          <w:color w:val="2C1A0E"/>
          <w:sz w:val="21"/>
        </w:rPr>
        <w:t xml:space="preserve">— the data moat is the only uncopiable asset </w:t>
      </w:r>
      <w:r>
        <w:rPr>
          <w:color w:val="1A1A1A"/>
          <w:sz w:val="21"/>
        </w:rPr>
        <w:t>Prioritise user acquisition over margin</w:t>
      </w:r>
    </w:p>
    <w:p>
      <w:pPr>
        <w:pStyle w:val="ListBullet"/>
        <w:spacing w:after="80"/>
      </w:pPr>
      <w:r>
        <w:rPr>
          <w:b/>
          <w:color w:val="2C1A0E"/>
          <w:sz w:val="21"/>
        </w:rPr>
        <w:t xml:space="preserve">— local tipping points are cheaper than national campaigns </w:t>
      </w:r>
      <w:r>
        <w:rPr>
          <w:color w:val="1A1A1A"/>
          <w:sz w:val="21"/>
        </w:rPr>
        <w:t>Cluster geographically first</w:t>
      </w:r>
    </w:p>
    <w:p>
      <w:pPr>
        <w:pStyle w:val="ListBullet"/>
        <w:spacing w:after="80"/>
      </w:pPr>
      <w:r>
        <w:rPr>
          <w:b/>
          <w:color w:val="2C1A0E"/>
          <w:sz w:val="21"/>
        </w:rPr>
        <w:t xml:space="preserve">— every move on the list above costs less to do first than to defend against later </w:t>
      </w:r>
      <w:r>
        <w:rPr>
          <w:color w:val="1A1A1A"/>
          <w:sz w:val="21"/>
        </w:rPr>
        <w:t>Preempt the competitor's playbook</w:t>
      </w:r>
    </w:p>
    <w:p>
      <w:pPr>
        <w:spacing w:before="160" w:after="160"/>
        <w:ind w:left="432" w:right="432"/>
        <w:shd w:val="clear" w:color="auto" w:fill="FFF2CC"/>
      </w:pPr>
      <w:r>
        <w:rPr>
          <w:b/>
          <w:color w:val="2C1A0E"/>
          <w:sz w:val="21"/>
        </w:rPr>
        <w:t xml:space="preserve">  The uncomfortable truth: the window is 12–18 months. After that, if Dial In has executed, the market is settled. If it has not, a funded competitor defines the category instead.  </w:t>
      </w:r>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